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5457EF">
      <w:pPr>
        <w:widowControl/>
        <w:jc w:val="center"/>
        <w:rPr>
          <w:rFonts w:hint="eastAsia" w:ascii="黑体" w:hAnsi="黑体" w:eastAsia="黑体" w:cs="黑体"/>
          <w:b w:val="0"/>
          <w:bCs w:val="0"/>
          <w:color w:val="auto"/>
          <w:sz w:val="36"/>
          <w:szCs w:val="36"/>
          <w:highlight w:val="none"/>
        </w:rPr>
      </w:pPr>
      <w:r>
        <w:rPr>
          <w:rFonts w:hint="eastAsia" w:ascii="黑体" w:hAnsi="黑体" w:eastAsia="黑体" w:cs="黑体"/>
          <w:b w:val="0"/>
          <w:bCs w:val="0"/>
          <w:color w:val="auto"/>
          <w:sz w:val="36"/>
          <w:szCs w:val="36"/>
          <w:highlight w:val="none"/>
        </w:rPr>
        <w:t>《</w:t>
      </w:r>
      <w:r>
        <w:rPr>
          <w:rFonts w:hint="eastAsia" w:ascii="黑体" w:hAnsi="黑体" w:eastAsia="黑体" w:cs="黑体"/>
          <w:b w:val="0"/>
          <w:bCs w:val="0"/>
          <w:color w:val="auto"/>
          <w:sz w:val="36"/>
          <w:szCs w:val="36"/>
          <w:highlight w:val="none"/>
          <w:lang w:eastAsia="zh-CN"/>
        </w:rPr>
        <w:t>威海金苹果等级和规格</w:t>
      </w:r>
      <w:r>
        <w:rPr>
          <w:rFonts w:hint="eastAsia" w:ascii="黑体" w:hAnsi="黑体" w:eastAsia="黑体" w:cs="黑体"/>
          <w:b w:val="0"/>
          <w:bCs w:val="0"/>
          <w:color w:val="auto"/>
          <w:sz w:val="36"/>
          <w:szCs w:val="36"/>
          <w:highlight w:val="none"/>
        </w:rPr>
        <w:t>》编制说明</w:t>
      </w:r>
    </w:p>
    <w:p w14:paraId="1372EE8E">
      <w:pPr>
        <w:widowControl/>
        <w:jc w:val="center"/>
        <w:rPr>
          <w:rFonts w:ascii="Times New Roman" w:hAnsi="Times New Roman" w:cs="Times New Roman"/>
          <w:color w:val="auto"/>
          <w:highlight w:val="none"/>
        </w:rPr>
      </w:pPr>
      <w:r>
        <w:rPr>
          <w:rFonts w:ascii="Times New Roman" w:hAnsi="Times New Roman" w:eastAsia="宋体" w:cs="Times New Roman"/>
          <w:color w:val="auto"/>
          <w:kern w:val="0"/>
          <w:sz w:val="31"/>
          <w:szCs w:val="31"/>
          <w:highlight w:val="none"/>
          <w:lang w:bidi="ar"/>
        </w:rPr>
        <w:t>（</w:t>
      </w:r>
      <w:r>
        <w:rPr>
          <w:rFonts w:hint="eastAsia" w:ascii="Times New Roman" w:hAnsi="Times New Roman" w:eastAsia="宋体" w:cs="Times New Roman"/>
          <w:color w:val="auto"/>
          <w:kern w:val="0"/>
          <w:sz w:val="31"/>
          <w:szCs w:val="31"/>
          <w:highlight w:val="none"/>
          <w:lang w:val="en-US" w:eastAsia="zh-CN" w:bidi="ar"/>
        </w:rPr>
        <w:t>征求意见稿</w:t>
      </w:r>
      <w:r>
        <w:rPr>
          <w:rFonts w:ascii="Times New Roman" w:hAnsi="Times New Roman" w:eastAsia="宋体" w:cs="Times New Roman"/>
          <w:color w:val="auto"/>
          <w:kern w:val="0"/>
          <w:sz w:val="31"/>
          <w:szCs w:val="31"/>
          <w:highlight w:val="none"/>
          <w:lang w:bidi="ar"/>
        </w:rPr>
        <w:t>）</w:t>
      </w:r>
    </w:p>
    <w:p w14:paraId="4C95F42C">
      <w:pPr>
        <w:widowControl/>
        <w:spacing w:before="312" w:beforeLines="100" w:after="312" w:afterLines="100"/>
        <w:ind w:firstLine="420" w:firstLineChars="200"/>
        <w:jc w:val="left"/>
        <w:rPr>
          <w:rFonts w:ascii="Times New Roman" w:hAnsi="Times New Roman" w:eastAsia="黑体" w:cs="Times New Roman"/>
          <w:color w:val="auto"/>
          <w:sz w:val="21"/>
          <w:szCs w:val="21"/>
          <w:highlight w:val="none"/>
        </w:rPr>
      </w:pPr>
      <w:r>
        <w:rPr>
          <w:rFonts w:ascii="Times New Roman" w:hAnsi="Times New Roman" w:eastAsia="黑体" w:cs="Times New Roman"/>
          <w:color w:val="auto"/>
          <w:kern w:val="0"/>
          <w:sz w:val="21"/>
          <w:szCs w:val="21"/>
          <w:highlight w:val="none"/>
          <w:lang w:bidi="ar"/>
        </w:rPr>
        <w:t>一、工作简况</w:t>
      </w:r>
    </w:p>
    <w:p w14:paraId="202CB9F8">
      <w:pPr>
        <w:widowControl/>
        <w:spacing w:before="312" w:beforeLines="100" w:after="312" w:afterLines="100"/>
        <w:ind w:firstLine="420" w:firstLineChars="200"/>
        <w:jc w:val="left"/>
        <w:rPr>
          <w:rFonts w:ascii="Times New Roman" w:hAnsi="Times New Roman" w:eastAsia="楷体" w:cs="Times New Roman"/>
          <w:color w:val="auto"/>
          <w:sz w:val="21"/>
          <w:szCs w:val="21"/>
          <w:highlight w:val="none"/>
        </w:rPr>
      </w:pPr>
      <w:r>
        <w:rPr>
          <w:rFonts w:ascii="Times New Roman" w:hAnsi="Times New Roman" w:eastAsia="楷体" w:cs="Times New Roman"/>
          <w:color w:val="auto"/>
          <w:kern w:val="0"/>
          <w:sz w:val="21"/>
          <w:szCs w:val="21"/>
          <w:highlight w:val="none"/>
          <w:lang w:bidi="ar"/>
        </w:rPr>
        <w:t>（一）任务来源</w:t>
      </w:r>
    </w:p>
    <w:p w14:paraId="24752599">
      <w:pPr>
        <w:widowControl/>
        <w:spacing w:line="300" w:lineRule="auto"/>
        <w:ind w:firstLine="420" w:firstLineChars="200"/>
        <w:jc w:val="left"/>
        <w:rPr>
          <w:rFonts w:ascii="Times New Roman" w:hAnsi="Times New Roman" w:cs="Times New Roman"/>
          <w:color w:val="auto"/>
          <w:kern w:val="0"/>
          <w:sz w:val="21"/>
          <w:szCs w:val="21"/>
          <w:highlight w:val="none"/>
          <w:lang w:bidi="ar"/>
        </w:rPr>
      </w:pPr>
      <w:r>
        <w:rPr>
          <w:rFonts w:hint="eastAsia" w:ascii="Times New Roman" w:hAnsi="Times New Roman" w:eastAsia="仿宋" w:cs="Times New Roman"/>
          <w:i w:val="0"/>
          <w:iCs w:val="0"/>
          <w:caps w:val="0"/>
          <w:color w:val="auto"/>
          <w:spacing w:val="0"/>
          <w:kern w:val="0"/>
          <w:sz w:val="21"/>
          <w:szCs w:val="21"/>
          <w:highlight w:val="none"/>
          <w:shd w:val="clear"/>
          <w:lang w:bidi="ar"/>
        </w:rPr>
        <w:t>威海金苹果是我国近年来发展迅速的特色黄苹果品种，因其优异的品质和经济效益，栽培面积和市场份额不断扩大</w:t>
      </w:r>
      <w:r>
        <w:rPr>
          <w:rFonts w:ascii="Times New Roman" w:hAnsi="Times New Roman" w:eastAsia="仿宋" w:cs="Times New Roman"/>
          <w:i w:val="0"/>
          <w:iCs w:val="0"/>
          <w:caps w:val="0"/>
          <w:color w:val="auto"/>
          <w:spacing w:val="0"/>
          <w:kern w:val="0"/>
          <w:sz w:val="21"/>
          <w:szCs w:val="21"/>
          <w:highlight w:val="none"/>
          <w:shd w:val="clear"/>
          <w:lang w:bidi="ar"/>
        </w:rPr>
        <w:t>，其质量等级直接关系到果农收益、市场流通和品牌建设</w:t>
      </w:r>
      <w:r>
        <w:rPr>
          <w:rFonts w:hint="eastAsia" w:ascii="Times New Roman" w:hAnsi="Times New Roman" w:eastAsia="仿宋" w:cs="Times New Roman"/>
          <w:i w:val="0"/>
          <w:iCs w:val="0"/>
          <w:caps w:val="0"/>
          <w:color w:val="auto"/>
          <w:spacing w:val="0"/>
          <w:kern w:val="0"/>
          <w:sz w:val="21"/>
          <w:szCs w:val="21"/>
          <w:highlight w:val="none"/>
          <w:shd w:val="clear"/>
          <w:lang w:bidi="ar"/>
        </w:rPr>
        <w:t>。为</w:t>
      </w:r>
      <w:r>
        <w:rPr>
          <w:rFonts w:ascii="Times New Roman" w:hAnsi="Times New Roman" w:eastAsia="仿宋" w:cs="Times New Roman"/>
          <w:i w:val="0"/>
          <w:iCs w:val="0"/>
          <w:caps w:val="0"/>
          <w:color w:val="auto"/>
          <w:spacing w:val="0"/>
          <w:kern w:val="0"/>
          <w:sz w:val="21"/>
          <w:szCs w:val="21"/>
          <w:highlight w:val="none"/>
          <w:shd w:val="clear"/>
          <w:lang w:bidi="ar"/>
        </w:rPr>
        <w:t>统一和规范全国</w:t>
      </w:r>
      <w:r>
        <w:rPr>
          <w:rFonts w:hint="eastAsia" w:ascii="Times New Roman" w:hAnsi="Times New Roman" w:eastAsia="仿宋" w:cs="Times New Roman"/>
          <w:i w:val="0"/>
          <w:iCs w:val="0"/>
          <w:caps w:val="0"/>
          <w:color w:val="auto"/>
          <w:spacing w:val="0"/>
          <w:kern w:val="0"/>
          <w:sz w:val="21"/>
          <w:szCs w:val="21"/>
          <w:highlight w:val="none"/>
          <w:shd w:val="clear"/>
          <w:lang w:bidi="ar"/>
        </w:rPr>
        <w:t>威海金苹果</w:t>
      </w:r>
      <w:r>
        <w:rPr>
          <w:rFonts w:ascii="Times New Roman" w:hAnsi="Times New Roman" w:eastAsia="仿宋" w:cs="Times New Roman"/>
          <w:i w:val="0"/>
          <w:iCs w:val="0"/>
          <w:caps w:val="0"/>
          <w:color w:val="auto"/>
          <w:spacing w:val="0"/>
          <w:kern w:val="0"/>
          <w:sz w:val="21"/>
          <w:szCs w:val="21"/>
          <w:highlight w:val="none"/>
          <w:shd w:val="clear"/>
          <w:lang w:bidi="ar"/>
        </w:rPr>
        <w:t>的质量分级标准，</w:t>
      </w:r>
      <w:r>
        <w:rPr>
          <w:rFonts w:hint="eastAsia" w:ascii="Times New Roman" w:hAnsi="Times New Roman" w:cs="Times New Roman"/>
          <w:i w:val="0"/>
          <w:iCs w:val="0"/>
          <w:caps w:val="0"/>
          <w:color w:val="auto"/>
          <w:spacing w:val="0"/>
          <w:kern w:val="0"/>
          <w:sz w:val="21"/>
          <w:szCs w:val="21"/>
          <w:highlight w:val="none"/>
          <w:shd w:val="clear"/>
          <w:lang w:val="en-US" w:eastAsia="zh-CN" w:bidi="ar"/>
        </w:rPr>
        <w:t>完善</w:t>
      </w:r>
      <w:r>
        <w:rPr>
          <w:rFonts w:hint="eastAsia" w:ascii="Times New Roman" w:hAnsi="Times New Roman" w:eastAsia="仿宋" w:cs="Times New Roman"/>
          <w:i w:val="0"/>
          <w:iCs w:val="0"/>
          <w:caps w:val="0"/>
          <w:color w:val="auto"/>
          <w:spacing w:val="0"/>
          <w:kern w:val="0"/>
          <w:sz w:val="21"/>
          <w:szCs w:val="21"/>
          <w:highlight w:val="none"/>
          <w:shd w:val="clear"/>
          <w:lang w:bidi="ar"/>
        </w:rPr>
        <w:t>威海金苹果的市场分级、提升产品竞争力、促进优质优价</w:t>
      </w:r>
      <w:r>
        <w:rPr>
          <w:rFonts w:ascii="Times New Roman" w:hAnsi="Times New Roman" w:eastAsia="仿宋" w:cs="Times New Roman"/>
          <w:i w:val="0"/>
          <w:iCs w:val="0"/>
          <w:caps w:val="0"/>
          <w:color w:val="auto"/>
          <w:spacing w:val="0"/>
          <w:kern w:val="0"/>
          <w:sz w:val="21"/>
          <w:szCs w:val="21"/>
          <w:highlight w:val="none"/>
          <w:shd w:val="clear"/>
          <w:lang w:bidi="ar"/>
        </w:rPr>
        <w:t>，由</w:t>
      </w:r>
      <w:bookmarkStart w:id="0" w:name="OLE_LINK1"/>
      <w:r>
        <w:rPr>
          <w:rFonts w:hint="eastAsia" w:ascii="Times New Roman" w:hAnsi="Times New Roman" w:eastAsia="仿宋" w:cs="Times New Roman"/>
          <w:color w:val="auto"/>
          <w:kern w:val="0"/>
          <w:sz w:val="21"/>
          <w:szCs w:val="21"/>
          <w:highlight w:val="none"/>
          <w:lang w:val="en-US" w:eastAsia="zh-CN" w:bidi="ar"/>
        </w:rPr>
        <w:t>全国</w:t>
      </w:r>
      <w:r>
        <w:rPr>
          <w:rFonts w:hint="eastAsia" w:ascii="Times New Roman" w:hAnsi="Times New Roman" w:cs="Times New Roman"/>
          <w:color w:val="auto"/>
          <w:kern w:val="0"/>
          <w:sz w:val="21"/>
          <w:szCs w:val="21"/>
          <w:highlight w:val="none"/>
          <w:lang w:val="en-US" w:eastAsia="zh-CN" w:bidi="ar"/>
        </w:rPr>
        <w:t>农业技术推广服务</w:t>
      </w:r>
      <w:r>
        <w:rPr>
          <w:rFonts w:hint="eastAsia" w:ascii="Times New Roman" w:hAnsi="Times New Roman" w:eastAsia="仿宋" w:cs="Times New Roman"/>
          <w:color w:val="auto"/>
          <w:kern w:val="0"/>
          <w:sz w:val="21"/>
          <w:szCs w:val="21"/>
          <w:highlight w:val="none"/>
          <w:lang w:val="en-US" w:eastAsia="zh-CN" w:bidi="ar"/>
        </w:rPr>
        <w:t>中心</w:t>
      </w:r>
      <w:bookmarkEnd w:id="0"/>
      <w:r>
        <w:rPr>
          <w:rFonts w:ascii="Times New Roman" w:hAnsi="Times New Roman" w:eastAsia="仿宋" w:cs="Times New Roman"/>
          <w:i w:val="0"/>
          <w:iCs w:val="0"/>
          <w:caps w:val="0"/>
          <w:color w:val="auto"/>
          <w:spacing w:val="0"/>
          <w:kern w:val="0"/>
          <w:sz w:val="21"/>
          <w:szCs w:val="21"/>
          <w:highlight w:val="none"/>
          <w:shd w:val="clear"/>
          <w:lang w:bidi="ar"/>
        </w:rPr>
        <w:t>牵头，组织相关科研院所、高校及行业龙头企业，共同承担《</w:t>
      </w:r>
      <w:r>
        <w:rPr>
          <w:rFonts w:hint="eastAsia" w:ascii="Times New Roman" w:hAnsi="Times New Roman" w:eastAsia="仿宋" w:cs="Times New Roman"/>
          <w:i w:val="0"/>
          <w:iCs w:val="0"/>
          <w:caps w:val="0"/>
          <w:color w:val="auto"/>
          <w:spacing w:val="0"/>
          <w:kern w:val="0"/>
          <w:sz w:val="21"/>
          <w:szCs w:val="21"/>
          <w:highlight w:val="none"/>
          <w:shd w:val="clear"/>
          <w:lang w:bidi="ar"/>
        </w:rPr>
        <w:t>威海金苹果</w:t>
      </w:r>
      <w:r>
        <w:rPr>
          <w:rFonts w:ascii="Times New Roman" w:hAnsi="Times New Roman" w:eastAsia="仿宋" w:cs="Times New Roman"/>
          <w:i w:val="0"/>
          <w:iCs w:val="0"/>
          <w:caps w:val="0"/>
          <w:color w:val="auto"/>
          <w:spacing w:val="0"/>
          <w:kern w:val="0"/>
          <w:sz w:val="21"/>
          <w:szCs w:val="21"/>
          <w:highlight w:val="none"/>
          <w:shd w:val="clear"/>
          <w:lang w:bidi="ar"/>
        </w:rPr>
        <w:t>质量等级》标准的制定任务。</w:t>
      </w:r>
    </w:p>
    <w:p w14:paraId="713AE883">
      <w:pPr>
        <w:widowControl/>
        <w:spacing w:line="300" w:lineRule="auto"/>
        <w:ind w:firstLine="420" w:firstLineChars="200"/>
        <w:jc w:val="left"/>
        <w:rPr>
          <w:rFonts w:hint="eastAsia" w:ascii="Times New Roman" w:hAnsi="Times New Roman" w:cs="Times New Roman"/>
          <w:color w:val="auto"/>
          <w:kern w:val="0"/>
          <w:sz w:val="21"/>
          <w:szCs w:val="21"/>
          <w:highlight w:val="none"/>
          <w:lang w:bidi="ar"/>
        </w:rPr>
      </w:pPr>
      <w:r>
        <w:rPr>
          <w:rFonts w:hint="eastAsia" w:ascii="Times New Roman" w:hAnsi="Times New Roman" w:cs="Times New Roman"/>
          <w:color w:val="auto"/>
          <w:kern w:val="0"/>
          <w:sz w:val="21"/>
          <w:szCs w:val="21"/>
          <w:highlight w:val="none"/>
          <w:lang w:bidi="ar"/>
        </w:rPr>
        <w:t>（二）制定背景</w:t>
      </w:r>
    </w:p>
    <w:p w14:paraId="6CC2ACB5">
      <w:pPr>
        <w:widowControl/>
        <w:spacing w:line="300" w:lineRule="auto"/>
        <w:ind w:firstLine="420" w:firstLineChars="200"/>
        <w:jc w:val="left"/>
        <w:rPr>
          <w:rFonts w:hint="eastAsia" w:ascii="Times New Roman" w:hAnsi="Times New Roman" w:cs="Times New Roman"/>
          <w:color w:val="auto"/>
          <w:kern w:val="0"/>
          <w:sz w:val="21"/>
          <w:szCs w:val="21"/>
          <w:highlight w:val="none"/>
          <w:lang w:bidi="ar"/>
        </w:rPr>
      </w:pPr>
      <w:r>
        <w:rPr>
          <w:rFonts w:hint="eastAsia" w:ascii="Times New Roman" w:hAnsi="Times New Roman" w:eastAsia="仿宋" w:cs="Times New Roman"/>
          <w:i w:val="0"/>
          <w:iCs w:val="0"/>
          <w:caps w:val="0"/>
          <w:color w:val="auto"/>
          <w:spacing w:val="0"/>
          <w:kern w:val="0"/>
          <w:sz w:val="21"/>
          <w:szCs w:val="21"/>
          <w:highlight w:val="none"/>
          <w:shd w:val="clear"/>
          <w:lang w:bidi="ar"/>
        </w:rPr>
        <w:t>威海金苹果</w:t>
      </w:r>
      <w:r>
        <w:rPr>
          <w:rFonts w:hint="eastAsia" w:ascii="Times New Roman" w:hAnsi="Times New Roman" w:cs="Times New Roman"/>
          <w:color w:val="auto"/>
          <w:kern w:val="0"/>
          <w:sz w:val="21"/>
          <w:szCs w:val="21"/>
          <w:highlight w:val="none"/>
          <w:lang w:bidi="ar"/>
        </w:rPr>
        <w:t>（</w:t>
      </w:r>
      <w:r>
        <w:rPr>
          <w:rFonts w:hint="eastAsia" w:ascii="Times New Roman" w:hAnsi="Times New Roman" w:cs="Times New Roman"/>
          <w:i/>
          <w:iCs/>
          <w:color w:val="auto"/>
          <w:kern w:val="0"/>
          <w:sz w:val="21"/>
          <w:szCs w:val="21"/>
          <w:highlight w:val="none"/>
          <w:lang w:bidi="ar"/>
        </w:rPr>
        <w:t>Malusdomestica</w:t>
      </w:r>
      <w:r>
        <w:rPr>
          <w:rFonts w:hint="eastAsia" w:ascii="Times New Roman" w:hAnsi="Times New Roman" w:cs="Times New Roman"/>
          <w:color w:val="auto"/>
          <w:kern w:val="0"/>
          <w:sz w:val="21"/>
          <w:szCs w:val="21"/>
          <w:highlight w:val="none"/>
          <w:lang w:bidi="ar"/>
        </w:rPr>
        <w:t>Borkh.‘Harlikar’）系日本岩手大学横田清氏用金帅自然杂交种子选育而成，2010年由威海市果树茶叶工作站引入。该品种果实长圆形、果形指数高（平均0.94），果面金黄，果肉淡黄，肉质脆硬，汁多味甜，可溶性固形物含量可达15%～19%，具有浓郁的甜香风味，品质极上。近年来，</w:t>
      </w:r>
      <w:r>
        <w:rPr>
          <w:rFonts w:hint="eastAsia" w:ascii="Times New Roman" w:hAnsi="Times New Roman" w:eastAsia="仿宋" w:cs="Times New Roman"/>
          <w:i w:val="0"/>
          <w:iCs w:val="0"/>
          <w:caps w:val="0"/>
          <w:color w:val="auto"/>
          <w:spacing w:val="0"/>
          <w:kern w:val="0"/>
          <w:sz w:val="21"/>
          <w:szCs w:val="21"/>
          <w:highlight w:val="none"/>
          <w:shd w:val="clear"/>
          <w:lang w:bidi="ar"/>
        </w:rPr>
        <w:t>威海金苹果</w:t>
      </w:r>
      <w:r>
        <w:rPr>
          <w:rFonts w:hint="eastAsia" w:ascii="Times New Roman" w:hAnsi="Times New Roman" w:cs="Times New Roman"/>
          <w:color w:val="auto"/>
          <w:kern w:val="0"/>
          <w:sz w:val="21"/>
          <w:szCs w:val="21"/>
          <w:highlight w:val="none"/>
          <w:lang w:bidi="ar"/>
        </w:rPr>
        <w:t>在威海及全国主产区推广迅速，成为带动农民增收的特色高效品种。然而，随着市场销量的增加，</w:t>
      </w:r>
      <w:r>
        <w:rPr>
          <w:rFonts w:hint="eastAsia" w:ascii="Times New Roman" w:hAnsi="Times New Roman" w:eastAsia="仿宋" w:cs="Times New Roman"/>
          <w:i w:val="0"/>
          <w:iCs w:val="0"/>
          <w:caps w:val="0"/>
          <w:color w:val="auto"/>
          <w:spacing w:val="0"/>
          <w:kern w:val="0"/>
          <w:sz w:val="21"/>
          <w:szCs w:val="21"/>
          <w:highlight w:val="none"/>
          <w:shd w:val="clear"/>
          <w:lang w:bidi="ar"/>
        </w:rPr>
        <w:t>威海金苹果</w:t>
      </w:r>
      <w:r>
        <w:rPr>
          <w:rFonts w:hint="eastAsia" w:ascii="Times New Roman" w:hAnsi="Times New Roman" w:cs="Times New Roman"/>
          <w:color w:val="auto"/>
          <w:kern w:val="0"/>
          <w:sz w:val="21"/>
          <w:szCs w:val="21"/>
          <w:highlight w:val="none"/>
          <w:lang w:bidi="ar"/>
        </w:rPr>
        <w:t>的质量等级缺乏统一标准，不同产区、不同企业采用各自的分级指标（如着色、果径、果面缺陷等），导致市场混乱、消费者认知模糊，不利于品牌建设和优质优价机制的发挥。现行国家标准《鲜苹果》（GB/T10651-2008）主要针对富士等红色品种，对黄色品种的着色要求、果锈容忍度等指标不适用。因此，亟需制定一部专门针对</w:t>
      </w:r>
      <w:r>
        <w:rPr>
          <w:rFonts w:hint="eastAsia" w:ascii="Times New Roman" w:hAnsi="Times New Roman" w:eastAsia="仿宋" w:cs="Times New Roman"/>
          <w:i w:val="0"/>
          <w:iCs w:val="0"/>
          <w:caps w:val="0"/>
          <w:color w:val="auto"/>
          <w:spacing w:val="0"/>
          <w:kern w:val="0"/>
          <w:sz w:val="21"/>
          <w:szCs w:val="21"/>
          <w:highlight w:val="none"/>
          <w:shd w:val="clear"/>
          <w:lang w:bidi="ar"/>
        </w:rPr>
        <w:t>威海金苹果</w:t>
      </w:r>
      <w:r>
        <w:rPr>
          <w:rFonts w:hint="eastAsia" w:ascii="Times New Roman" w:hAnsi="Times New Roman" w:cs="Times New Roman"/>
          <w:color w:val="auto"/>
          <w:kern w:val="0"/>
          <w:sz w:val="21"/>
          <w:szCs w:val="21"/>
          <w:highlight w:val="none"/>
          <w:lang w:bidi="ar"/>
        </w:rPr>
        <w:t>的质量等</w:t>
      </w:r>
      <w:r>
        <w:rPr>
          <w:rFonts w:hint="eastAsia" w:ascii="Times New Roman" w:hAnsi="Times New Roman" w:cs="Times New Roman"/>
          <w:color w:val="auto"/>
          <w:kern w:val="0"/>
          <w:sz w:val="21"/>
          <w:szCs w:val="21"/>
          <w:highlight w:val="none"/>
          <w:lang w:eastAsia="zh-CN" w:bidi="ar"/>
        </w:rPr>
        <w:t>级和</w:t>
      </w:r>
      <w:r>
        <w:rPr>
          <w:rFonts w:hint="eastAsia" w:ascii="Times New Roman" w:hAnsi="Times New Roman" w:cs="Times New Roman"/>
          <w:color w:val="auto"/>
          <w:kern w:val="0"/>
          <w:sz w:val="21"/>
          <w:szCs w:val="21"/>
          <w:highlight w:val="none"/>
          <w:lang w:bidi="ar"/>
        </w:rPr>
        <w:t>规格标准，以规范生产、流通和销售，提升产业标准化水平。因此，制定一项全国通用的《</w:t>
      </w:r>
      <w:r>
        <w:rPr>
          <w:rFonts w:hint="eastAsia" w:ascii="Times New Roman" w:hAnsi="Times New Roman" w:eastAsia="仿宋" w:cs="Times New Roman"/>
          <w:i w:val="0"/>
          <w:iCs w:val="0"/>
          <w:caps w:val="0"/>
          <w:color w:val="auto"/>
          <w:spacing w:val="0"/>
          <w:kern w:val="0"/>
          <w:sz w:val="21"/>
          <w:szCs w:val="21"/>
          <w:highlight w:val="none"/>
          <w:shd w:val="clear"/>
          <w:lang w:bidi="ar"/>
        </w:rPr>
        <w:t>威海金苹果</w:t>
      </w:r>
      <w:r>
        <w:rPr>
          <w:rFonts w:hint="eastAsia" w:ascii="Times New Roman" w:hAnsi="Times New Roman" w:cs="Times New Roman"/>
          <w:color w:val="auto"/>
          <w:kern w:val="0"/>
          <w:sz w:val="21"/>
          <w:szCs w:val="21"/>
          <w:highlight w:val="none"/>
          <w:lang w:bidi="ar"/>
        </w:rPr>
        <w:t>质量等级》标准，对规范市场秩序、提升我国</w:t>
      </w:r>
      <w:r>
        <w:rPr>
          <w:rFonts w:hint="eastAsia" w:ascii="Times New Roman" w:hAnsi="Times New Roman" w:eastAsia="仿宋" w:cs="Times New Roman"/>
          <w:i w:val="0"/>
          <w:iCs w:val="0"/>
          <w:caps w:val="0"/>
          <w:color w:val="auto"/>
          <w:spacing w:val="0"/>
          <w:kern w:val="0"/>
          <w:sz w:val="21"/>
          <w:szCs w:val="21"/>
          <w:highlight w:val="none"/>
          <w:shd w:val="clear"/>
          <w:lang w:bidi="ar"/>
        </w:rPr>
        <w:t>威海金苹果</w:t>
      </w:r>
      <w:r>
        <w:rPr>
          <w:rFonts w:hint="eastAsia" w:ascii="Times New Roman" w:hAnsi="Times New Roman" w:cs="Times New Roman"/>
          <w:color w:val="auto"/>
          <w:kern w:val="0"/>
          <w:sz w:val="21"/>
          <w:szCs w:val="21"/>
          <w:highlight w:val="none"/>
          <w:lang w:bidi="ar"/>
        </w:rPr>
        <w:t>的整体品牌形象和国际竞争力、促进产业高质量发展具有重要意义。</w:t>
      </w:r>
    </w:p>
    <w:p w14:paraId="7A272E86">
      <w:pPr>
        <w:widowControl/>
        <w:spacing w:before="0" w:beforeLines="-2147483648" w:after="0" w:afterLines="-2147483648" w:line="300" w:lineRule="auto"/>
        <w:ind w:firstLine="420" w:firstLineChars="200"/>
        <w:jc w:val="left"/>
        <w:rPr>
          <w:rFonts w:hint="eastAsia" w:ascii="Times New Roman" w:hAnsi="Times New Roman" w:eastAsia="仿宋" w:cs="Times New Roman"/>
          <w:color w:val="auto"/>
          <w:kern w:val="0"/>
          <w:sz w:val="21"/>
          <w:szCs w:val="21"/>
          <w:highlight w:val="none"/>
          <w:lang w:bidi="ar"/>
        </w:rPr>
      </w:pPr>
      <w:r>
        <w:rPr>
          <w:rFonts w:hint="eastAsia" w:ascii="Times New Roman" w:hAnsi="Times New Roman" w:cs="Times New Roman"/>
          <w:color w:val="auto"/>
          <w:kern w:val="0"/>
          <w:sz w:val="21"/>
          <w:szCs w:val="21"/>
          <w:highlight w:val="none"/>
          <w:lang w:bidi="ar"/>
        </w:rPr>
        <w:t>（三）</w:t>
      </w:r>
      <w:bookmarkStart w:id="9" w:name="_GoBack"/>
      <w:bookmarkEnd w:id="9"/>
      <w:r>
        <w:rPr>
          <w:rFonts w:hint="eastAsia" w:ascii="Times New Roman" w:hAnsi="Times New Roman" w:eastAsia="仿宋" w:cs="Times New Roman"/>
          <w:color w:val="auto"/>
          <w:kern w:val="0"/>
          <w:sz w:val="21"/>
          <w:szCs w:val="21"/>
          <w:highlight w:val="none"/>
          <w:lang w:bidi="ar"/>
        </w:rPr>
        <w:t>起草过程</w:t>
      </w:r>
    </w:p>
    <w:p w14:paraId="227845DF">
      <w:pPr>
        <w:widowControl/>
        <w:spacing w:before="0" w:beforeLines="-2147483648" w:after="0" w:afterLines="-2147483648" w:line="300" w:lineRule="auto"/>
        <w:ind w:firstLine="420" w:firstLineChars="200"/>
        <w:jc w:val="left"/>
        <w:rPr>
          <w:rFonts w:hint="eastAsia" w:ascii="Times New Roman" w:hAnsi="Times New Roman" w:eastAsia="仿宋" w:cs="Times New Roman"/>
          <w:color w:val="auto"/>
          <w:kern w:val="0"/>
          <w:sz w:val="21"/>
          <w:szCs w:val="21"/>
          <w:highlight w:val="none"/>
          <w:lang w:bidi="ar"/>
        </w:rPr>
      </w:pPr>
      <w:r>
        <w:rPr>
          <w:rFonts w:hint="eastAsia" w:ascii="Times New Roman" w:hAnsi="Times New Roman" w:cs="Times New Roman"/>
          <w:color w:val="auto"/>
          <w:kern w:val="0"/>
          <w:sz w:val="21"/>
          <w:szCs w:val="21"/>
          <w:highlight w:val="none"/>
          <w:lang w:val="en-US" w:eastAsia="zh-CN" w:bidi="ar"/>
        </w:rPr>
        <w:t>1.</w:t>
      </w:r>
      <w:r>
        <w:rPr>
          <w:rFonts w:hint="eastAsia" w:ascii="Times New Roman" w:hAnsi="Times New Roman" w:eastAsia="仿宋" w:cs="Times New Roman"/>
          <w:color w:val="auto"/>
          <w:kern w:val="0"/>
          <w:sz w:val="21"/>
          <w:szCs w:val="21"/>
          <w:highlight w:val="none"/>
          <w:lang w:bidi="ar"/>
        </w:rPr>
        <w:t>成立起草工作组</w:t>
      </w:r>
    </w:p>
    <w:p w14:paraId="09536032">
      <w:pPr>
        <w:pStyle w:val="10"/>
        <w:spacing w:before="0" w:beforeAutospacing="0" w:after="0" w:afterAutospacing="0"/>
        <w:ind w:firstLine="420" w:firstLineChars="200"/>
        <w:jc w:val="both"/>
        <w:rPr>
          <w:rFonts w:hint="eastAsia" w:ascii="Times New Roman" w:hAnsi="Times New Roman" w:eastAsia="仿宋" w:cs="Times New Roman"/>
          <w:color w:val="auto"/>
          <w:kern w:val="0"/>
          <w:sz w:val="21"/>
          <w:szCs w:val="21"/>
          <w:highlight w:val="none"/>
          <w:lang w:bidi="ar"/>
        </w:rPr>
      </w:pPr>
      <w:r>
        <w:rPr>
          <w:rFonts w:hint="eastAsia" w:ascii="Times New Roman" w:hAnsi="Times New Roman" w:eastAsia="仿宋" w:cs="Times New Roman"/>
          <w:color w:val="auto"/>
          <w:kern w:val="0"/>
          <w:sz w:val="21"/>
          <w:szCs w:val="21"/>
          <w:highlight w:val="none"/>
          <w:lang w:bidi="ar"/>
        </w:rPr>
        <w:t>202</w:t>
      </w:r>
      <w:r>
        <w:rPr>
          <w:rFonts w:hint="eastAsia" w:ascii="Times New Roman" w:hAnsi="Times New Roman" w:cs="Times New Roman"/>
          <w:color w:val="auto"/>
          <w:kern w:val="0"/>
          <w:sz w:val="21"/>
          <w:szCs w:val="21"/>
          <w:highlight w:val="none"/>
          <w:lang w:val="en-US" w:eastAsia="zh-CN" w:bidi="ar"/>
        </w:rPr>
        <w:t>5</w:t>
      </w:r>
      <w:r>
        <w:rPr>
          <w:rFonts w:hint="eastAsia" w:ascii="Times New Roman" w:hAnsi="Times New Roman" w:eastAsia="仿宋" w:cs="Times New Roman"/>
          <w:color w:val="auto"/>
          <w:kern w:val="0"/>
          <w:sz w:val="21"/>
          <w:szCs w:val="21"/>
          <w:highlight w:val="none"/>
          <w:lang w:bidi="ar"/>
        </w:rPr>
        <w:t>年</w:t>
      </w:r>
      <w:r>
        <w:rPr>
          <w:rFonts w:hint="eastAsia" w:ascii="Times New Roman" w:hAnsi="Times New Roman" w:cs="Times New Roman"/>
          <w:color w:val="auto"/>
          <w:kern w:val="0"/>
          <w:sz w:val="21"/>
          <w:szCs w:val="21"/>
          <w:highlight w:val="none"/>
          <w:lang w:eastAsia="zh-CN" w:bidi="ar"/>
        </w:rPr>
        <w:t>5</w:t>
      </w:r>
      <w:r>
        <w:rPr>
          <w:rFonts w:hint="eastAsia" w:ascii="Times New Roman" w:hAnsi="Times New Roman" w:eastAsia="仿宋" w:cs="Times New Roman"/>
          <w:color w:val="auto"/>
          <w:kern w:val="0"/>
          <w:sz w:val="21"/>
          <w:szCs w:val="21"/>
          <w:highlight w:val="none"/>
          <w:lang w:bidi="ar"/>
        </w:rPr>
        <w:t>月</w:t>
      </w:r>
      <w:r>
        <w:rPr>
          <w:rFonts w:hint="eastAsia" w:ascii="Times New Roman" w:hAnsi="Times New Roman" w:cs="Times New Roman"/>
          <w:color w:val="auto"/>
          <w:kern w:val="0"/>
          <w:sz w:val="21"/>
          <w:szCs w:val="21"/>
          <w:highlight w:val="none"/>
          <w:lang w:eastAsia="zh-CN" w:bidi="ar"/>
        </w:rPr>
        <w:t>—</w:t>
      </w:r>
      <w:r>
        <w:rPr>
          <w:rFonts w:hint="eastAsia" w:ascii="Times New Roman" w:hAnsi="Times New Roman" w:cs="Times New Roman"/>
          <w:color w:val="auto"/>
          <w:kern w:val="0"/>
          <w:sz w:val="21"/>
          <w:szCs w:val="21"/>
          <w:highlight w:val="none"/>
          <w:lang w:val="en-US" w:eastAsia="zh-CN" w:bidi="ar"/>
        </w:rPr>
        <w:t>8</w:t>
      </w:r>
      <w:r>
        <w:rPr>
          <w:rFonts w:hint="eastAsia" w:ascii="Times New Roman" w:hAnsi="Times New Roman" w:eastAsia="仿宋" w:cs="Times New Roman"/>
          <w:color w:val="auto"/>
          <w:kern w:val="0"/>
          <w:sz w:val="21"/>
          <w:szCs w:val="21"/>
          <w:highlight w:val="none"/>
          <w:lang w:bidi="ar"/>
        </w:rPr>
        <w:t>月：</w:t>
      </w:r>
      <w:r>
        <w:rPr>
          <w:rFonts w:hint="eastAsia" w:ascii="Times New Roman" w:hAnsi="Times New Roman" w:cs="Times New Roman"/>
          <w:color w:val="auto"/>
          <w:kern w:val="0"/>
          <w:sz w:val="21"/>
          <w:szCs w:val="21"/>
          <w:highlight w:val="none"/>
          <w:lang w:val="en-US" w:eastAsia="zh-CN" w:bidi="ar"/>
        </w:rPr>
        <w:t>任务下达后，</w:t>
      </w:r>
      <w:r>
        <w:rPr>
          <w:rFonts w:hint="eastAsia" w:ascii="Times New Roman" w:hAnsi="Times New Roman" w:eastAsia="仿宋" w:cs="Times New Roman"/>
          <w:color w:val="auto"/>
          <w:kern w:val="0"/>
          <w:sz w:val="21"/>
          <w:szCs w:val="21"/>
          <w:highlight w:val="none"/>
          <w:lang w:bidi="ar"/>
        </w:rPr>
        <w:t>由</w:t>
      </w:r>
      <w:r>
        <w:rPr>
          <w:rFonts w:hint="eastAsia" w:ascii="Times New Roman" w:hAnsi="Times New Roman" w:eastAsia="仿宋" w:cs="Times New Roman"/>
          <w:color w:val="auto"/>
          <w:kern w:val="0"/>
          <w:sz w:val="21"/>
          <w:szCs w:val="21"/>
          <w:highlight w:val="none"/>
          <w:lang w:val="en-US" w:eastAsia="zh-CN" w:bidi="ar"/>
        </w:rPr>
        <w:t>全国</w:t>
      </w:r>
      <w:r>
        <w:rPr>
          <w:rFonts w:hint="eastAsia" w:ascii="Times New Roman" w:hAnsi="Times New Roman" w:cs="Times New Roman"/>
          <w:color w:val="auto"/>
          <w:kern w:val="0"/>
          <w:sz w:val="21"/>
          <w:szCs w:val="21"/>
          <w:highlight w:val="none"/>
          <w:lang w:val="en-US" w:eastAsia="zh-CN" w:bidi="ar"/>
        </w:rPr>
        <w:t>农业技术推广服务</w:t>
      </w:r>
      <w:r>
        <w:rPr>
          <w:rFonts w:hint="eastAsia" w:ascii="Times New Roman" w:hAnsi="Times New Roman" w:eastAsia="仿宋" w:cs="Times New Roman"/>
          <w:color w:val="auto"/>
          <w:kern w:val="0"/>
          <w:sz w:val="21"/>
          <w:szCs w:val="21"/>
          <w:highlight w:val="none"/>
          <w:lang w:val="en-US" w:eastAsia="zh-CN" w:bidi="ar"/>
        </w:rPr>
        <w:t>中心</w:t>
      </w:r>
      <w:r>
        <w:rPr>
          <w:rFonts w:hint="eastAsia" w:ascii="Times New Roman" w:hAnsi="Times New Roman" w:eastAsia="仿宋" w:cs="Times New Roman"/>
          <w:color w:val="auto"/>
          <w:kern w:val="0"/>
          <w:sz w:val="21"/>
          <w:szCs w:val="21"/>
          <w:highlight w:val="none"/>
          <w:lang w:bidi="ar"/>
        </w:rPr>
        <w:t>牵头，联合</w:t>
      </w:r>
      <w:r>
        <w:rPr>
          <w:rFonts w:hint="eastAsia" w:ascii="Times New Roman" w:hAnsi="Times New Roman" w:cs="Times New Roman"/>
          <w:color w:val="auto"/>
          <w:sz w:val="20"/>
          <w:szCs w:val="20"/>
          <w:lang w:eastAsia="zh-CN"/>
        </w:rPr>
        <w:t>威海市农业科学院</w:t>
      </w:r>
      <w:r>
        <w:rPr>
          <w:rFonts w:hint="eastAsia" w:ascii="Times New Roman" w:hAnsi="Times New Roman" w:eastAsia="仿宋" w:cs="Times New Roman"/>
          <w:color w:val="auto"/>
          <w:kern w:val="0"/>
          <w:sz w:val="21"/>
          <w:szCs w:val="21"/>
          <w:highlight w:val="none"/>
          <w:lang w:bidi="ar"/>
        </w:rPr>
        <w:t>成立《</w:t>
      </w:r>
      <w:r>
        <w:rPr>
          <w:rFonts w:hint="eastAsia" w:ascii="Times New Roman" w:hAnsi="Times New Roman" w:cs="Times New Roman"/>
          <w:i w:val="0"/>
          <w:iCs w:val="0"/>
          <w:caps w:val="0"/>
          <w:color w:val="auto"/>
          <w:spacing w:val="0"/>
          <w:kern w:val="0"/>
          <w:sz w:val="21"/>
          <w:szCs w:val="21"/>
          <w:highlight w:val="none"/>
          <w:shd w:val="clear"/>
          <w:lang w:eastAsia="zh-CN" w:bidi="ar"/>
        </w:rPr>
        <w:t>威海金苹果等级和规格</w:t>
      </w:r>
      <w:r>
        <w:rPr>
          <w:rFonts w:hint="eastAsia" w:ascii="Times New Roman" w:hAnsi="Times New Roman" w:eastAsia="仿宋" w:cs="Times New Roman"/>
          <w:color w:val="auto"/>
          <w:kern w:val="0"/>
          <w:sz w:val="21"/>
          <w:szCs w:val="21"/>
          <w:highlight w:val="none"/>
          <w:lang w:bidi="ar"/>
        </w:rPr>
        <w:t>》标准起草</w:t>
      </w:r>
      <w:r>
        <w:rPr>
          <w:rFonts w:hint="eastAsia" w:ascii="Times New Roman" w:hAnsi="Times New Roman" w:cs="Times New Roman"/>
          <w:color w:val="auto"/>
          <w:kern w:val="0"/>
          <w:sz w:val="21"/>
          <w:szCs w:val="21"/>
          <w:highlight w:val="none"/>
          <w:lang w:val="en-US" w:eastAsia="zh-CN" w:bidi="ar"/>
        </w:rPr>
        <w:t>小</w:t>
      </w:r>
      <w:r>
        <w:rPr>
          <w:rFonts w:hint="eastAsia" w:ascii="Times New Roman" w:hAnsi="Times New Roman" w:eastAsia="仿宋" w:cs="Times New Roman"/>
          <w:color w:val="auto"/>
          <w:kern w:val="0"/>
          <w:sz w:val="21"/>
          <w:szCs w:val="21"/>
          <w:highlight w:val="none"/>
          <w:lang w:bidi="ar"/>
        </w:rPr>
        <w:t>组。起草小组组织开展了</w:t>
      </w:r>
      <w:r>
        <w:rPr>
          <w:rFonts w:hint="eastAsia" w:ascii="Times New Roman" w:hAnsi="Times New Roman" w:cs="Times New Roman"/>
          <w:color w:val="auto"/>
          <w:kern w:val="0"/>
          <w:sz w:val="21"/>
          <w:szCs w:val="21"/>
          <w:highlight w:val="none"/>
          <w:lang w:eastAsia="zh-CN" w:bidi="ar"/>
        </w:rPr>
        <w:t>系统地学习</w:t>
      </w:r>
      <w:r>
        <w:rPr>
          <w:rFonts w:hint="eastAsia" w:ascii="Times New Roman" w:hAnsi="Times New Roman" w:eastAsia="仿宋" w:cs="Times New Roman"/>
          <w:color w:val="auto"/>
          <w:kern w:val="0"/>
          <w:sz w:val="21"/>
          <w:szCs w:val="21"/>
          <w:highlight w:val="none"/>
          <w:lang w:bidi="ar"/>
        </w:rPr>
        <w:t>和研究工作，深入领会标准制定的重要意义，明确了标准的总体技术要求。同时，对现行苹果</w:t>
      </w:r>
      <w:r>
        <w:rPr>
          <w:rFonts w:hint="eastAsia" w:ascii="Times New Roman" w:hAnsi="Times New Roman" w:cs="Times New Roman"/>
          <w:color w:val="auto"/>
          <w:kern w:val="0"/>
          <w:sz w:val="21"/>
          <w:szCs w:val="21"/>
          <w:highlight w:val="none"/>
          <w:lang w:val="en-US" w:eastAsia="zh-CN" w:bidi="ar"/>
        </w:rPr>
        <w:t>质量分级</w:t>
      </w:r>
      <w:r>
        <w:rPr>
          <w:rFonts w:hint="eastAsia" w:ascii="Times New Roman" w:hAnsi="Times New Roman" w:eastAsia="仿宋" w:cs="Times New Roman"/>
          <w:color w:val="auto"/>
          <w:kern w:val="0"/>
          <w:sz w:val="21"/>
          <w:szCs w:val="21"/>
          <w:highlight w:val="none"/>
          <w:lang w:bidi="ar"/>
        </w:rPr>
        <w:t>相关的国家标准、行业标准、地方标准</w:t>
      </w:r>
      <w:r>
        <w:rPr>
          <w:rFonts w:hint="eastAsia" w:ascii="Times New Roman" w:hAnsi="Times New Roman" w:cs="Times New Roman"/>
          <w:color w:val="auto"/>
          <w:kern w:val="0"/>
          <w:sz w:val="21"/>
          <w:szCs w:val="21"/>
          <w:highlight w:val="none"/>
          <w:lang w:val="en-US" w:eastAsia="zh-CN" w:bidi="ar"/>
        </w:rPr>
        <w:t>等</w:t>
      </w:r>
      <w:r>
        <w:rPr>
          <w:rFonts w:hint="eastAsia" w:ascii="Times New Roman" w:hAnsi="Times New Roman" w:eastAsia="仿宋" w:cs="Times New Roman"/>
          <w:color w:val="auto"/>
          <w:kern w:val="0"/>
          <w:sz w:val="21"/>
          <w:szCs w:val="21"/>
          <w:highlight w:val="none"/>
          <w:lang w:bidi="ar"/>
        </w:rPr>
        <w:t>进行了全面分析和深入研究。在此基础上，起草小组制定了详细的工作方案，明确了标准制定的基本原则，</w:t>
      </w:r>
      <w:r>
        <w:rPr>
          <w:rFonts w:hint="eastAsia" w:ascii="Times New Roman" w:hAnsi="Times New Roman" w:cs="Times New Roman"/>
          <w:color w:val="auto"/>
          <w:kern w:val="0"/>
          <w:sz w:val="21"/>
          <w:szCs w:val="21"/>
          <w:highlight w:val="none"/>
          <w:lang w:val="en-US" w:eastAsia="zh-CN" w:bidi="ar"/>
        </w:rPr>
        <w:t>制定</w:t>
      </w:r>
      <w:r>
        <w:rPr>
          <w:rFonts w:hint="eastAsia" w:ascii="Times New Roman" w:hAnsi="Times New Roman" w:eastAsia="仿宋" w:cs="Times New Roman"/>
          <w:color w:val="auto"/>
          <w:kern w:val="0"/>
          <w:sz w:val="21"/>
          <w:szCs w:val="21"/>
          <w:highlight w:val="none"/>
          <w:lang w:bidi="ar"/>
        </w:rPr>
        <w:t>了具体的工作计划，明确了各项工作的进度安排，确保标准起草工作的有序推进。</w:t>
      </w:r>
    </w:p>
    <w:p w14:paraId="4814740F">
      <w:pPr>
        <w:widowControl/>
        <w:spacing w:before="0" w:beforeLines="-2147483648" w:after="0" w:afterLines="-2147483648" w:line="300" w:lineRule="auto"/>
        <w:ind w:firstLine="420" w:firstLineChars="200"/>
        <w:jc w:val="left"/>
        <w:rPr>
          <w:rFonts w:hint="eastAsia" w:ascii="Times New Roman" w:hAnsi="Times New Roman" w:eastAsia="仿宋" w:cs="Times New Roman"/>
          <w:color w:val="auto"/>
          <w:kern w:val="0"/>
          <w:sz w:val="21"/>
          <w:szCs w:val="21"/>
          <w:highlight w:val="none"/>
          <w:lang w:bidi="ar"/>
        </w:rPr>
      </w:pPr>
      <w:r>
        <w:rPr>
          <w:rFonts w:hint="eastAsia" w:ascii="Times New Roman" w:hAnsi="Times New Roman" w:cs="Times New Roman"/>
          <w:color w:val="auto"/>
          <w:kern w:val="0"/>
          <w:sz w:val="21"/>
          <w:szCs w:val="21"/>
          <w:highlight w:val="none"/>
          <w:lang w:val="en-US" w:eastAsia="zh-CN" w:bidi="ar"/>
        </w:rPr>
        <w:t>2.</w:t>
      </w:r>
      <w:r>
        <w:rPr>
          <w:rFonts w:hint="eastAsia" w:ascii="Times New Roman" w:hAnsi="Times New Roman" w:eastAsia="仿宋" w:cs="Times New Roman"/>
          <w:color w:val="auto"/>
          <w:kern w:val="0"/>
          <w:sz w:val="21"/>
          <w:szCs w:val="21"/>
          <w:highlight w:val="none"/>
          <w:lang w:bidi="ar"/>
        </w:rPr>
        <w:t>资料的查阅及数据的收集和整理</w:t>
      </w:r>
    </w:p>
    <w:p w14:paraId="4BE8432A">
      <w:pPr>
        <w:widowControl/>
        <w:spacing w:before="0" w:beforeLines="-2147483648" w:after="0" w:afterLines="-2147483648" w:line="300" w:lineRule="auto"/>
        <w:ind w:firstLine="420" w:firstLineChars="200"/>
        <w:jc w:val="left"/>
        <w:rPr>
          <w:rFonts w:hint="eastAsia" w:ascii="Times New Roman" w:hAnsi="Times New Roman" w:eastAsia="仿宋" w:cs="Times New Roman"/>
          <w:color w:val="auto"/>
          <w:kern w:val="0"/>
          <w:sz w:val="21"/>
          <w:szCs w:val="21"/>
          <w:highlight w:val="none"/>
          <w:lang w:bidi="ar"/>
        </w:rPr>
      </w:pPr>
      <w:r>
        <w:rPr>
          <w:rFonts w:hint="eastAsia" w:ascii="Times New Roman" w:hAnsi="Times New Roman" w:eastAsia="仿宋" w:cs="Times New Roman"/>
          <w:color w:val="auto"/>
          <w:kern w:val="0"/>
          <w:sz w:val="21"/>
          <w:szCs w:val="21"/>
          <w:highlight w:val="none"/>
          <w:lang w:bidi="ar"/>
        </w:rPr>
        <w:t>202</w:t>
      </w:r>
      <w:r>
        <w:rPr>
          <w:rFonts w:hint="eastAsia" w:ascii="Times New Roman" w:hAnsi="Times New Roman" w:cs="Times New Roman"/>
          <w:color w:val="auto"/>
          <w:kern w:val="0"/>
          <w:sz w:val="21"/>
          <w:szCs w:val="21"/>
          <w:highlight w:val="none"/>
          <w:lang w:val="en-US" w:eastAsia="zh-CN" w:bidi="ar"/>
        </w:rPr>
        <w:t>5</w:t>
      </w:r>
      <w:r>
        <w:rPr>
          <w:rFonts w:hint="eastAsia" w:ascii="Times New Roman" w:hAnsi="Times New Roman" w:eastAsia="仿宋" w:cs="Times New Roman"/>
          <w:color w:val="auto"/>
          <w:kern w:val="0"/>
          <w:sz w:val="21"/>
          <w:szCs w:val="21"/>
          <w:highlight w:val="none"/>
          <w:lang w:bidi="ar"/>
        </w:rPr>
        <w:t>年</w:t>
      </w:r>
      <w:r>
        <w:rPr>
          <w:rFonts w:hint="eastAsia" w:ascii="Times New Roman" w:hAnsi="Times New Roman" w:cs="Times New Roman"/>
          <w:color w:val="auto"/>
          <w:kern w:val="0"/>
          <w:sz w:val="21"/>
          <w:szCs w:val="21"/>
          <w:highlight w:val="none"/>
          <w:lang w:val="en-US" w:eastAsia="zh-CN" w:bidi="ar"/>
        </w:rPr>
        <w:t>9</w:t>
      </w:r>
      <w:r>
        <w:rPr>
          <w:rFonts w:hint="eastAsia" w:ascii="Times New Roman" w:hAnsi="Times New Roman" w:eastAsia="仿宋" w:cs="Times New Roman"/>
          <w:color w:val="auto"/>
          <w:kern w:val="0"/>
          <w:sz w:val="21"/>
          <w:szCs w:val="21"/>
          <w:highlight w:val="none"/>
          <w:lang w:bidi="ar"/>
        </w:rPr>
        <w:t>月</w:t>
      </w:r>
      <w:r>
        <w:rPr>
          <w:rFonts w:hint="eastAsia" w:ascii="Times New Roman" w:hAnsi="Times New Roman" w:cs="Times New Roman"/>
          <w:color w:val="auto"/>
          <w:kern w:val="0"/>
          <w:sz w:val="21"/>
          <w:szCs w:val="21"/>
          <w:highlight w:val="none"/>
          <w:lang w:eastAsia="zh-CN" w:bidi="ar"/>
        </w:rPr>
        <w:t>—</w:t>
      </w:r>
      <w:r>
        <w:rPr>
          <w:rFonts w:hint="eastAsia" w:ascii="Times New Roman" w:hAnsi="Times New Roman" w:cs="Times New Roman"/>
          <w:color w:val="auto"/>
          <w:kern w:val="0"/>
          <w:sz w:val="21"/>
          <w:szCs w:val="21"/>
          <w:highlight w:val="none"/>
          <w:lang w:val="en-US" w:eastAsia="zh-CN" w:bidi="ar"/>
        </w:rPr>
        <w:t>12</w:t>
      </w:r>
      <w:r>
        <w:rPr>
          <w:rFonts w:hint="eastAsia" w:ascii="Times New Roman" w:hAnsi="Times New Roman" w:eastAsia="仿宋" w:cs="Times New Roman"/>
          <w:color w:val="auto"/>
          <w:kern w:val="0"/>
          <w:sz w:val="21"/>
          <w:szCs w:val="21"/>
          <w:highlight w:val="none"/>
          <w:lang w:bidi="ar"/>
        </w:rPr>
        <w:t>月</w:t>
      </w:r>
      <w:r>
        <w:rPr>
          <w:rFonts w:hint="eastAsia" w:ascii="Times New Roman" w:hAnsi="Times New Roman" w:cs="Times New Roman"/>
          <w:color w:val="auto"/>
          <w:kern w:val="0"/>
          <w:sz w:val="21"/>
          <w:szCs w:val="21"/>
          <w:highlight w:val="none"/>
          <w:lang w:eastAsia="zh-CN" w:bidi="ar"/>
        </w:rPr>
        <w:t>，</w:t>
      </w:r>
      <w:r>
        <w:rPr>
          <w:rFonts w:hint="eastAsia" w:ascii="Times New Roman" w:hAnsi="Times New Roman" w:eastAsia="仿宋" w:cs="Times New Roman"/>
          <w:color w:val="auto"/>
          <w:kern w:val="0"/>
          <w:sz w:val="21"/>
          <w:szCs w:val="21"/>
          <w:highlight w:val="none"/>
          <w:lang w:bidi="ar"/>
        </w:rPr>
        <w:t>起草组收集、整理了NY/T1793-2009苹果等级规格、NY/T2316-2013苹果品质指标评价规范、NY/T2714-2015农产品等级规格评定技术规范通则、《威海苹果鲜果分级与检验》（DB3710/T111-2020）、NY/T2113-2012农产品等级规格、GB/T23351-2009新鲜水果和蔬菜词汇</w:t>
      </w:r>
      <w:r>
        <w:rPr>
          <w:rFonts w:hint="eastAsia" w:ascii="Times New Roman" w:hAnsi="Times New Roman" w:cs="Times New Roman"/>
          <w:color w:val="auto"/>
          <w:kern w:val="0"/>
          <w:sz w:val="21"/>
          <w:szCs w:val="21"/>
          <w:highlight w:val="none"/>
          <w:lang w:eastAsia="zh-CN" w:bidi="ar"/>
        </w:rPr>
        <w:t>，</w:t>
      </w:r>
      <w:r>
        <w:rPr>
          <w:rFonts w:hint="eastAsia" w:ascii="Times New Roman" w:hAnsi="Times New Roman" w:eastAsia="仿宋" w:cs="Times New Roman"/>
          <w:color w:val="auto"/>
          <w:kern w:val="0"/>
          <w:sz w:val="21"/>
          <w:szCs w:val="21"/>
          <w:highlight w:val="none"/>
          <w:lang w:bidi="ar"/>
        </w:rPr>
        <w:t>以及标准编写通则等果品质量规格相关的国家标准和农业行业标准等，并进行了</w:t>
      </w:r>
      <w:r>
        <w:rPr>
          <w:rFonts w:hint="eastAsia" w:ascii="Times New Roman" w:hAnsi="Times New Roman" w:cs="Times New Roman"/>
          <w:color w:val="auto"/>
          <w:kern w:val="0"/>
          <w:sz w:val="21"/>
          <w:szCs w:val="21"/>
          <w:highlight w:val="none"/>
          <w:lang w:eastAsia="zh-CN" w:bidi="ar"/>
        </w:rPr>
        <w:t>系统地学习</w:t>
      </w:r>
      <w:r>
        <w:rPr>
          <w:rFonts w:hint="eastAsia" w:ascii="Times New Roman" w:hAnsi="Times New Roman" w:eastAsia="仿宋" w:cs="Times New Roman"/>
          <w:color w:val="auto"/>
          <w:kern w:val="0"/>
          <w:sz w:val="21"/>
          <w:szCs w:val="21"/>
          <w:highlight w:val="none"/>
          <w:lang w:bidi="ar"/>
        </w:rPr>
        <w:t>和研究。查阅了大量关于鲜苹果新品种介绍、引种观察等方面的研究文献</w:t>
      </w:r>
      <w:r>
        <w:rPr>
          <w:rFonts w:hint="eastAsia" w:ascii="Times New Roman" w:hAnsi="Times New Roman" w:cs="Times New Roman"/>
          <w:color w:val="auto"/>
          <w:kern w:val="0"/>
          <w:sz w:val="21"/>
          <w:szCs w:val="21"/>
          <w:highlight w:val="none"/>
          <w:lang w:eastAsia="zh-CN" w:bidi="ar"/>
        </w:rPr>
        <w:t>。</w:t>
      </w:r>
      <w:r>
        <w:rPr>
          <w:rFonts w:hint="eastAsia" w:ascii="Times New Roman" w:hAnsi="Times New Roman" w:eastAsia="仿宋" w:cs="Times New Roman"/>
          <w:color w:val="auto"/>
          <w:kern w:val="0"/>
          <w:sz w:val="21"/>
          <w:szCs w:val="21"/>
          <w:highlight w:val="none"/>
          <w:lang w:bidi="ar"/>
        </w:rPr>
        <w:t>同时，</w:t>
      </w:r>
      <w:r>
        <w:rPr>
          <w:rFonts w:hint="eastAsia" w:ascii="Times New Roman" w:hAnsi="Times New Roman" w:cs="Times New Roman"/>
          <w:color w:val="auto"/>
          <w:kern w:val="0"/>
          <w:sz w:val="21"/>
          <w:szCs w:val="21"/>
          <w:highlight w:val="none"/>
          <w:lang w:val="en-US" w:eastAsia="zh-CN" w:bidi="ar"/>
        </w:rPr>
        <w:t>搜集</w:t>
      </w:r>
      <w:r>
        <w:rPr>
          <w:rFonts w:hint="eastAsia" w:ascii="Times New Roman" w:hAnsi="Times New Roman" w:eastAsia="仿宋" w:cs="Times New Roman"/>
          <w:color w:val="auto"/>
          <w:kern w:val="0"/>
          <w:sz w:val="21"/>
          <w:szCs w:val="21"/>
          <w:highlight w:val="none"/>
          <w:lang w:bidi="ar"/>
        </w:rPr>
        <w:t>全国不同主产区（黄土高原产区、渤海湾产区）不同等级、不同规格的</w:t>
      </w:r>
      <w:r>
        <w:rPr>
          <w:rFonts w:hint="eastAsia" w:ascii="Times New Roman" w:hAnsi="Times New Roman" w:eastAsia="仿宋" w:cs="Times New Roman"/>
          <w:i w:val="0"/>
          <w:iCs w:val="0"/>
          <w:caps w:val="0"/>
          <w:color w:val="auto"/>
          <w:spacing w:val="0"/>
          <w:kern w:val="0"/>
          <w:sz w:val="21"/>
          <w:szCs w:val="21"/>
          <w:highlight w:val="none"/>
          <w:shd w:val="clear"/>
          <w:lang w:bidi="ar"/>
        </w:rPr>
        <w:t>威海金苹果</w:t>
      </w:r>
      <w:r>
        <w:rPr>
          <w:rFonts w:hint="eastAsia" w:ascii="Times New Roman" w:hAnsi="Times New Roman" w:eastAsia="仿宋" w:cs="Times New Roman"/>
          <w:color w:val="auto"/>
          <w:kern w:val="0"/>
          <w:sz w:val="21"/>
          <w:szCs w:val="21"/>
          <w:highlight w:val="none"/>
          <w:lang w:bidi="ar"/>
        </w:rPr>
        <w:t>样品</w:t>
      </w:r>
      <w:r>
        <w:rPr>
          <w:rFonts w:hint="eastAsia" w:ascii="Times New Roman" w:hAnsi="Times New Roman" w:cs="Times New Roman"/>
          <w:color w:val="auto"/>
          <w:kern w:val="0"/>
          <w:sz w:val="21"/>
          <w:szCs w:val="21"/>
          <w:highlight w:val="none"/>
          <w:lang w:val="en-US" w:eastAsia="zh-CN" w:bidi="ar"/>
        </w:rPr>
        <w:t>数据，</w:t>
      </w:r>
      <w:r>
        <w:rPr>
          <w:rFonts w:hint="eastAsia" w:ascii="Times New Roman" w:hAnsi="Times New Roman" w:eastAsia="仿宋" w:cs="Times New Roman"/>
          <w:color w:val="auto"/>
          <w:kern w:val="0"/>
          <w:sz w:val="21"/>
          <w:szCs w:val="21"/>
          <w:highlight w:val="none"/>
          <w:lang w:bidi="ar"/>
        </w:rPr>
        <w:t>并将上述不同来源数据进行了统计、整理，对标准文稿进行修改，形成了征求意见初稿。</w:t>
      </w:r>
    </w:p>
    <w:p w14:paraId="1E742ABC">
      <w:pPr>
        <w:widowControl/>
        <w:spacing w:before="0" w:beforeLines="-2147483648" w:after="0" w:afterLines="-2147483648" w:line="300" w:lineRule="auto"/>
        <w:ind w:firstLine="420" w:firstLineChars="200"/>
        <w:jc w:val="left"/>
        <w:rPr>
          <w:rFonts w:hint="eastAsia" w:ascii="Times New Roman" w:hAnsi="Times New Roman" w:eastAsia="仿宋" w:cs="Times New Roman"/>
          <w:color w:val="auto"/>
          <w:kern w:val="0"/>
          <w:sz w:val="21"/>
          <w:szCs w:val="21"/>
          <w:highlight w:val="none"/>
          <w:lang w:bidi="ar"/>
        </w:rPr>
      </w:pPr>
      <w:r>
        <w:rPr>
          <w:rFonts w:hint="eastAsia" w:ascii="Times New Roman" w:hAnsi="Times New Roman" w:cs="Times New Roman"/>
          <w:color w:val="auto"/>
          <w:kern w:val="0"/>
          <w:sz w:val="21"/>
          <w:szCs w:val="21"/>
          <w:highlight w:val="none"/>
          <w:lang w:val="en-US" w:eastAsia="zh-CN" w:bidi="ar"/>
        </w:rPr>
        <w:t>3.</w:t>
      </w:r>
      <w:r>
        <w:rPr>
          <w:rFonts w:hint="eastAsia" w:ascii="Times New Roman" w:hAnsi="Times New Roman" w:eastAsia="仿宋" w:cs="Times New Roman"/>
          <w:color w:val="auto"/>
          <w:kern w:val="0"/>
          <w:sz w:val="21"/>
          <w:szCs w:val="21"/>
          <w:highlight w:val="none"/>
          <w:lang w:bidi="ar"/>
        </w:rPr>
        <w:t>首次意见征集</w:t>
      </w:r>
    </w:p>
    <w:p w14:paraId="6B246CBD">
      <w:pPr>
        <w:widowControl/>
        <w:spacing w:before="0" w:beforeLines="-2147483648" w:after="0" w:afterLines="-2147483648" w:line="300" w:lineRule="auto"/>
        <w:ind w:firstLine="420" w:firstLineChars="200"/>
        <w:jc w:val="left"/>
        <w:rPr>
          <w:rFonts w:hint="eastAsia" w:ascii="Times New Roman" w:hAnsi="Times New Roman" w:eastAsia="仿宋" w:cs="Times New Roman"/>
          <w:color w:val="auto"/>
          <w:kern w:val="0"/>
          <w:sz w:val="21"/>
          <w:szCs w:val="21"/>
          <w:highlight w:val="none"/>
          <w:lang w:bidi="ar"/>
        </w:rPr>
      </w:pPr>
      <w:r>
        <w:rPr>
          <w:rFonts w:hint="eastAsia" w:ascii="Times New Roman" w:hAnsi="Times New Roman" w:eastAsia="仿宋" w:cs="Times New Roman"/>
          <w:color w:val="auto"/>
          <w:kern w:val="0"/>
          <w:sz w:val="21"/>
          <w:szCs w:val="21"/>
          <w:highlight w:val="none"/>
          <w:lang w:bidi="ar"/>
        </w:rPr>
        <w:t>202</w:t>
      </w:r>
      <w:r>
        <w:rPr>
          <w:rFonts w:hint="eastAsia" w:ascii="Times New Roman" w:hAnsi="Times New Roman" w:cs="Times New Roman"/>
          <w:color w:val="auto"/>
          <w:kern w:val="0"/>
          <w:sz w:val="21"/>
          <w:szCs w:val="21"/>
          <w:highlight w:val="none"/>
          <w:lang w:val="en-US" w:eastAsia="zh-CN" w:bidi="ar"/>
        </w:rPr>
        <w:t>6</w:t>
      </w:r>
      <w:r>
        <w:rPr>
          <w:rFonts w:hint="eastAsia" w:ascii="Times New Roman" w:hAnsi="Times New Roman" w:eastAsia="仿宋" w:cs="Times New Roman"/>
          <w:color w:val="auto"/>
          <w:kern w:val="0"/>
          <w:sz w:val="21"/>
          <w:szCs w:val="21"/>
          <w:highlight w:val="none"/>
          <w:lang w:bidi="ar"/>
        </w:rPr>
        <w:t>年</w:t>
      </w:r>
      <w:r>
        <w:rPr>
          <w:rFonts w:hint="eastAsia" w:ascii="Times New Roman" w:hAnsi="Times New Roman" w:cs="Times New Roman"/>
          <w:color w:val="auto"/>
          <w:kern w:val="0"/>
          <w:sz w:val="21"/>
          <w:szCs w:val="21"/>
          <w:highlight w:val="none"/>
          <w:lang w:val="en-US" w:eastAsia="zh-CN" w:bidi="ar"/>
        </w:rPr>
        <w:t>3</w:t>
      </w:r>
      <w:r>
        <w:rPr>
          <w:rFonts w:hint="eastAsia" w:ascii="Times New Roman" w:hAnsi="Times New Roman" w:eastAsia="仿宋" w:cs="Times New Roman"/>
          <w:color w:val="auto"/>
          <w:kern w:val="0"/>
          <w:sz w:val="21"/>
          <w:szCs w:val="21"/>
          <w:highlight w:val="none"/>
          <w:lang w:bidi="ar"/>
        </w:rPr>
        <w:t>月</w:t>
      </w:r>
      <w:r>
        <w:rPr>
          <w:rFonts w:hint="eastAsia" w:ascii="Times New Roman" w:hAnsi="Times New Roman" w:cs="Times New Roman"/>
          <w:color w:val="auto"/>
          <w:kern w:val="0"/>
          <w:sz w:val="21"/>
          <w:szCs w:val="21"/>
          <w:highlight w:val="none"/>
          <w:lang w:eastAsia="zh-CN" w:bidi="ar"/>
        </w:rPr>
        <w:t>—</w:t>
      </w:r>
      <w:r>
        <w:rPr>
          <w:rFonts w:hint="eastAsia" w:ascii="Times New Roman" w:hAnsi="Times New Roman" w:cs="Times New Roman"/>
          <w:color w:val="auto"/>
          <w:kern w:val="0"/>
          <w:sz w:val="21"/>
          <w:szCs w:val="21"/>
          <w:highlight w:val="none"/>
          <w:lang w:val="en-US" w:eastAsia="zh-CN" w:bidi="ar"/>
        </w:rPr>
        <w:t>4</w:t>
      </w:r>
      <w:r>
        <w:rPr>
          <w:rFonts w:hint="eastAsia" w:ascii="Times New Roman" w:hAnsi="Times New Roman" w:eastAsia="仿宋" w:cs="Times New Roman"/>
          <w:color w:val="auto"/>
          <w:kern w:val="0"/>
          <w:sz w:val="21"/>
          <w:szCs w:val="21"/>
          <w:highlight w:val="none"/>
          <w:lang w:bidi="ar"/>
        </w:rPr>
        <w:t>月</w:t>
      </w:r>
      <w:r>
        <w:rPr>
          <w:rFonts w:hint="eastAsia" w:ascii="Times New Roman" w:hAnsi="Times New Roman" w:cs="Times New Roman"/>
          <w:color w:val="auto"/>
          <w:kern w:val="0"/>
          <w:sz w:val="21"/>
          <w:szCs w:val="21"/>
          <w:highlight w:val="none"/>
          <w:lang w:eastAsia="zh-CN" w:bidi="ar"/>
        </w:rPr>
        <w:t>，</w:t>
      </w:r>
      <w:r>
        <w:rPr>
          <w:rFonts w:hint="eastAsia" w:ascii="Times New Roman" w:hAnsi="Times New Roman" w:eastAsia="仿宋" w:cs="Times New Roman"/>
          <w:color w:val="auto"/>
          <w:kern w:val="0"/>
          <w:sz w:val="21"/>
          <w:szCs w:val="21"/>
          <w:highlight w:val="none"/>
          <w:lang w:bidi="ar"/>
        </w:rPr>
        <w:t>向全国10个单位10位苹果专家广泛征求意见，收回10份征求意见。202</w:t>
      </w:r>
      <w:r>
        <w:rPr>
          <w:rFonts w:hint="eastAsia" w:ascii="Times New Roman" w:hAnsi="Times New Roman" w:cs="Times New Roman"/>
          <w:color w:val="auto"/>
          <w:kern w:val="0"/>
          <w:sz w:val="21"/>
          <w:szCs w:val="21"/>
          <w:highlight w:val="none"/>
          <w:lang w:val="en-US" w:eastAsia="zh-CN" w:bidi="ar"/>
        </w:rPr>
        <w:t>6</w:t>
      </w:r>
      <w:r>
        <w:rPr>
          <w:rFonts w:hint="eastAsia" w:ascii="Times New Roman" w:hAnsi="Times New Roman" w:eastAsia="仿宋" w:cs="Times New Roman"/>
          <w:color w:val="auto"/>
          <w:kern w:val="0"/>
          <w:sz w:val="21"/>
          <w:szCs w:val="21"/>
          <w:highlight w:val="none"/>
          <w:lang w:bidi="ar"/>
        </w:rPr>
        <w:t>年</w:t>
      </w:r>
      <w:r>
        <w:rPr>
          <w:rFonts w:hint="eastAsia" w:ascii="Times New Roman" w:hAnsi="Times New Roman" w:cs="Times New Roman"/>
          <w:color w:val="auto"/>
          <w:kern w:val="0"/>
          <w:sz w:val="21"/>
          <w:szCs w:val="21"/>
          <w:highlight w:val="none"/>
          <w:lang w:val="en-US" w:eastAsia="zh-CN" w:bidi="ar"/>
        </w:rPr>
        <w:t>5月-6</w:t>
      </w:r>
      <w:r>
        <w:rPr>
          <w:rFonts w:hint="eastAsia" w:ascii="Times New Roman" w:hAnsi="Times New Roman" w:eastAsia="仿宋" w:cs="Times New Roman"/>
          <w:color w:val="auto"/>
          <w:kern w:val="0"/>
          <w:sz w:val="21"/>
          <w:szCs w:val="21"/>
          <w:highlight w:val="none"/>
          <w:lang w:bidi="ar"/>
        </w:rPr>
        <w:t>月，根据10位专家意见对征求稿进一步修改</w:t>
      </w:r>
      <w:r>
        <w:rPr>
          <w:rFonts w:hint="eastAsia" w:ascii="Times New Roman" w:hAnsi="Times New Roman" w:cs="Times New Roman"/>
          <w:color w:val="auto"/>
          <w:kern w:val="0"/>
          <w:sz w:val="21"/>
          <w:szCs w:val="21"/>
          <w:highlight w:val="none"/>
          <w:lang w:eastAsia="zh-CN" w:bidi="ar"/>
        </w:rPr>
        <w:t>。</w:t>
      </w:r>
    </w:p>
    <w:p w14:paraId="5C3E89AC">
      <w:pPr>
        <w:widowControl/>
        <w:spacing w:before="0" w:beforeLines="-2147483648" w:after="0" w:afterLines="-2147483648" w:line="300" w:lineRule="auto"/>
        <w:ind w:firstLine="420" w:firstLineChars="200"/>
        <w:jc w:val="left"/>
        <w:rPr>
          <w:rFonts w:hint="eastAsia" w:ascii="Times New Roman" w:hAnsi="Times New Roman" w:eastAsia="仿宋" w:cs="Times New Roman"/>
          <w:color w:val="auto"/>
          <w:kern w:val="0"/>
          <w:sz w:val="21"/>
          <w:szCs w:val="21"/>
          <w:highlight w:val="none"/>
          <w:lang w:bidi="ar"/>
        </w:rPr>
      </w:pPr>
      <w:r>
        <w:rPr>
          <w:rFonts w:hint="eastAsia" w:ascii="Times New Roman" w:hAnsi="Times New Roman" w:cs="Times New Roman"/>
          <w:color w:val="auto"/>
          <w:kern w:val="0"/>
          <w:sz w:val="21"/>
          <w:szCs w:val="21"/>
          <w:highlight w:val="none"/>
          <w:lang w:val="en-US" w:eastAsia="zh-CN" w:bidi="ar"/>
        </w:rPr>
        <w:t>4.</w:t>
      </w:r>
      <w:r>
        <w:rPr>
          <w:rFonts w:hint="eastAsia" w:ascii="Times New Roman" w:hAnsi="Times New Roman" w:eastAsia="仿宋" w:cs="Times New Roman"/>
          <w:color w:val="auto"/>
          <w:kern w:val="0"/>
          <w:sz w:val="21"/>
          <w:szCs w:val="21"/>
          <w:highlight w:val="none"/>
          <w:lang w:bidi="ar"/>
        </w:rPr>
        <w:t>标准草案编写与讨论</w:t>
      </w:r>
    </w:p>
    <w:p w14:paraId="05D69915">
      <w:pPr>
        <w:widowControl/>
        <w:spacing w:before="0" w:beforeLines="-2147483648" w:after="0" w:afterLines="-2147483648" w:line="300" w:lineRule="auto"/>
        <w:ind w:firstLine="420" w:firstLineChars="200"/>
        <w:jc w:val="left"/>
        <w:rPr>
          <w:rFonts w:hint="eastAsia" w:ascii="Times New Roman" w:hAnsi="Times New Roman" w:eastAsia="仿宋" w:cs="Times New Roman"/>
          <w:color w:val="auto"/>
          <w:kern w:val="0"/>
          <w:sz w:val="21"/>
          <w:szCs w:val="21"/>
          <w:highlight w:val="none"/>
          <w:lang w:bidi="ar"/>
        </w:rPr>
      </w:pPr>
      <w:r>
        <w:rPr>
          <w:rFonts w:hint="eastAsia" w:ascii="Times New Roman" w:hAnsi="Times New Roman" w:eastAsia="仿宋" w:cs="Times New Roman"/>
          <w:color w:val="auto"/>
          <w:kern w:val="0"/>
          <w:sz w:val="21"/>
          <w:szCs w:val="21"/>
          <w:highlight w:val="none"/>
          <w:lang w:bidi="ar"/>
        </w:rPr>
        <w:t>202</w:t>
      </w:r>
      <w:r>
        <w:rPr>
          <w:rFonts w:hint="eastAsia" w:ascii="Times New Roman" w:hAnsi="Times New Roman" w:cs="Times New Roman"/>
          <w:color w:val="auto"/>
          <w:kern w:val="0"/>
          <w:sz w:val="21"/>
          <w:szCs w:val="21"/>
          <w:highlight w:val="none"/>
          <w:lang w:val="en-US" w:eastAsia="zh-CN" w:bidi="ar"/>
        </w:rPr>
        <w:t>6</w:t>
      </w:r>
      <w:r>
        <w:rPr>
          <w:rFonts w:hint="eastAsia" w:ascii="Times New Roman" w:hAnsi="Times New Roman" w:eastAsia="仿宋" w:cs="Times New Roman"/>
          <w:color w:val="auto"/>
          <w:kern w:val="0"/>
          <w:sz w:val="21"/>
          <w:szCs w:val="21"/>
          <w:highlight w:val="none"/>
          <w:lang w:bidi="ar"/>
        </w:rPr>
        <w:t>年</w:t>
      </w:r>
      <w:r>
        <w:rPr>
          <w:rFonts w:hint="eastAsia" w:ascii="Times New Roman" w:hAnsi="Times New Roman" w:cs="Times New Roman"/>
          <w:color w:val="auto"/>
          <w:kern w:val="0"/>
          <w:sz w:val="21"/>
          <w:szCs w:val="21"/>
          <w:highlight w:val="none"/>
          <w:lang w:eastAsia="zh-CN" w:bidi="ar"/>
        </w:rPr>
        <w:t>7月—8月，</w:t>
      </w:r>
      <w:r>
        <w:rPr>
          <w:rFonts w:hint="eastAsia" w:ascii="Times New Roman" w:hAnsi="Times New Roman" w:eastAsia="仿宋" w:cs="Times New Roman"/>
          <w:color w:val="auto"/>
          <w:kern w:val="0"/>
          <w:sz w:val="21"/>
          <w:szCs w:val="21"/>
          <w:highlight w:val="none"/>
          <w:lang w:bidi="ar"/>
        </w:rPr>
        <w:t>在前期工作和试验验证的基础上，起草组编写了标准草案和编制说明，并组织行业专家进行了多次研讨，对关键指标（如等级划分、容许度、着色要求）进行了重点论证和修改，形成了征求意见稿。</w:t>
      </w:r>
    </w:p>
    <w:p w14:paraId="2C2BA0AB">
      <w:pPr>
        <w:widowControl/>
        <w:spacing w:before="157" w:beforeLines="50" w:after="157" w:afterLines="50"/>
        <w:ind w:firstLine="420" w:firstLineChars="200"/>
        <w:jc w:val="left"/>
        <w:rPr>
          <w:rFonts w:ascii="Times New Roman" w:hAnsi="Times New Roman" w:eastAsia="黑体" w:cs="Times New Roman"/>
          <w:color w:val="auto"/>
          <w:kern w:val="0"/>
          <w:sz w:val="21"/>
          <w:szCs w:val="21"/>
          <w:highlight w:val="none"/>
          <w:lang w:bidi="ar"/>
        </w:rPr>
      </w:pPr>
      <w:r>
        <w:rPr>
          <w:rFonts w:ascii="Times New Roman" w:hAnsi="Times New Roman" w:eastAsia="黑体" w:cs="Times New Roman"/>
          <w:color w:val="auto"/>
          <w:kern w:val="0"/>
          <w:sz w:val="21"/>
          <w:szCs w:val="21"/>
          <w:highlight w:val="none"/>
          <w:lang w:bidi="ar"/>
        </w:rPr>
        <w:t>二、标准编制原则和确定标准主要内容的依据</w:t>
      </w:r>
    </w:p>
    <w:p w14:paraId="499AABE4">
      <w:pPr>
        <w:widowControl/>
        <w:spacing w:before="0" w:beforeLines="-2147483648" w:after="0" w:afterLines="-2147483648" w:line="300" w:lineRule="auto"/>
        <w:ind w:firstLine="420" w:firstLineChars="200"/>
        <w:jc w:val="left"/>
        <w:rPr>
          <w:rFonts w:ascii="Times New Roman" w:hAnsi="Times New Roman" w:eastAsia="仿宋" w:cs="Times New Roman"/>
          <w:color w:val="auto"/>
          <w:kern w:val="0"/>
          <w:sz w:val="21"/>
          <w:szCs w:val="21"/>
          <w:highlight w:val="none"/>
          <w:lang w:bidi="ar"/>
        </w:rPr>
      </w:pPr>
      <w:r>
        <w:rPr>
          <w:rFonts w:ascii="Times New Roman" w:hAnsi="Times New Roman" w:eastAsia="仿宋" w:cs="Times New Roman"/>
          <w:color w:val="auto"/>
          <w:kern w:val="0"/>
          <w:sz w:val="21"/>
          <w:szCs w:val="21"/>
          <w:highlight w:val="none"/>
          <w:lang w:bidi="ar"/>
        </w:rPr>
        <w:t>（一）编制原则</w:t>
      </w:r>
    </w:p>
    <w:p w14:paraId="49EB9AD7">
      <w:pPr>
        <w:widowControl/>
        <w:spacing w:before="0" w:beforeLines="-2147483648" w:after="0" w:afterLines="-2147483648" w:line="300" w:lineRule="auto"/>
        <w:ind w:firstLine="420" w:firstLineChars="200"/>
        <w:jc w:val="left"/>
        <w:rPr>
          <w:rFonts w:hint="eastAsia" w:ascii="Times New Roman" w:hAnsi="Times New Roman" w:eastAsia="仿宋" w:cs="Times New Roman"/>
          <w:color w:val="auto"/>
          <w:kern w:val="0"/>
          <w:sz w:val="21"/>
          <w:szCs w:val="21"/>
          <w:highlight w:val="none"/>
          <w:lang w:bidi="ar"/>
        </w:rPr>
      </w:pPr>
      <w:r>
        <w:rPr>
          <w:rFonts w:hint="eastAsia" w:ascii="Times New Roman" w:hAnsi="Times New Roman" w:eastAsia="仿宋" w:cs="Times New Roman"/>
          <w:color w:val="auto"/>
          <w:kern w:val="0"/>
          <w:sz w:val="21"/>
          <w:szCs w:val="21"/>
          <w:highlight w:val="none"/>
          <w:lang w:bidi="ar"/>
        </w:rPr>
        <w:t>通过多次深入苹果生产企业进行实地调研，充分听取</w:t>
      </w:r>
      <w:r>
        <w:rPr>
          <w:rFonts w:hint="eastAsia" w:ascii="Times New Roman" w:hAnsi="Times New Roman" w:cs="Times New Roman"/>
          <w:color w:val="auto"/>
          <w:kern w:val="0"/>
          <w:sz w:val="21"/>
          <w:szCs w:val="21"/>
          <w:highlight w:val="none"/>
          <w:lang w:val="en-US" w:eastAsia="zh-CN" w:bidi="ar"/>
        </w:rPr>
        <w:t>产业苹果生产、销售及果业主管部门</w:t>
      </w:r>
      <w:r>
        <w:rPr>
          <w:rFonts w:hint="eastAsia" w:ascii="Times New Roman" w:hAnsi="Times New Roman" w:eastAsia="仿宋" w:cs="Times New Roman"/>
          <w:color w:val="auto"/>
          <w:kern w:val="0"/>
          <w:sz w:val="21"/>
          <w:szCs w:val="21"/>
          <w:highlight w:val="none"/>
          <w:lang w:bidi="ar"/>
        </w:rPr>
        <w:t>的意见与建议，确保标准内容真实反映实际操作流程和技术需求。在保障食品安全的基础上，标准修订细化了苹果质量要求。</w:t>
      </w:r>
    </w:p>
    <w:p w14:paraId="63063972">
      <w:pPr>
        <w:widowControl/>
        <w:spacing w:before="0" w:beforeLines="-2147483648" w:after="0" w:afterLines="-2147483648" w:line="300" w:lineRule="auto"/>
        <w:ind w:firstLine="420" w:firstLineChars="200"/>
        <w:jc w:val="left"/>
        <w:rPr>
          <w:rFonts w:hint="eastAsia" w:ascii="Times New Roman" w:hAnsi="Times New Roman" w:cs="Times New Roman"/>
          <w:color w:val="auto"/>
          <w:kern w:val="0"/>
          <w:sz w:val="21"/>
          <w:szCs w:val="21"/>
          <w:highlight w:val="none"/>
          <w:lang w:val="en-US" w:eastAsia="zh-CN" w:bidi="ar"/>
        </w:rPr>
      </w:pPr>
      <w:r>
        <w:rPr>
          <w:rFonts w:hint="eastAsia" w:ascii="Times New Roman" w:hAnsi="Times New Roman" w:cs="Times New Roman"/>
          <w:color w:val="auto"/>
          <w:kern w:val="0"/>
          <w:sz w:val="21"/>
          <w:szCs w:val="21"/>
          <w:highlight w:val="none"/>
          <w:lang w:val="en-US" w:eastAsia="zh-CN" w:bidi="ar"/>
        </w:rPr>
        <w:t>1.规范性原则</w:t>
      </w:r>
    </w:p>
    <w:p w14:paraId="380992FC">
      <w:pPr>
        <w:widowControl/>
        <w:spacing w:before="0" w:beforeLines="-2147483648" w:after="0" w:afterLines="-2147483648" w:line="300" w:lineRule="auto"/>
        <w:ind w:firstLine="420" w:firstLineChars="200"/>
        <w:jc w:val="left"/>
        <w:rPr>
          <w:rFonts w:hint="eastAsia" w:ascii="Times New Roman" w:hAnsi="Times New Roman" w:cs="Times New Roman"/>
          <w:color w:val="auto"/>
          <w:kern w:val="0"/>
          <w:sz w:val="21"/>
          <w:szCs w:val="21"/>
          <w:highlight w:val="none"/>
          <w:lang w:val="en-US" w:eastAsia="zh-CN" w:bidi="ar"/>
        </w:rPr>
      </w:pPr>
      <w:r>
        <w:rPr>
          <w:rFonts w:hint="eastAsia" w:ascii="Times New Roman" w:hAnsi="Times New Roman" w:cs="Times New Roman"/>
          <w:color w:val="auto"/>
          <w:kern w:val="0"/>
          <w:sz w:val="21"/>
          <w:szCs w:val="21"/>
          <w:highlight w:val="none"/>
          <w:lang w:val="en-US" w:eastAsia="zh-CN" w:bidi="ar"/>
        </w:rPr>
        <w:t>本标准严格按照GB/T1.1—2020《标准化工作导则第1部分：标准化文件的结构和起草规则》的要求进行起草编制，保证标准的编写质量。在标准制定过程中力求做到技术内容的叙述正确无误；文字表达准确、简明、易懂；标准的构成严谨合理；内容编排、层次划分等符合逻辑与规定。</w:t>
      </w:r>
    </w:p>
    <w:p w14:paraId="29853AE5">
      <w:pPr>
        <w:widowControl/>
        <w:spacing w:line="300" w:lineRule="auto"/>
        <w:ind w:firstLine="420" w:firstLineChars="200"/>
        <w:jc w:val="left"/>
        <w:rPr>
          <w:rFonts w:hint="eastAsia" w:ascii="Times New Roman" w:hAnsi="Times New Roman" w:cs="Times New Roman"/>
          <w:color w:val="auto"/>
          <w:kern w:val="0"/>
          <w:sz w:val="21"/>
          <w:szCs w:val="21"/>
          <w:highlight w:val="none"/>
          <w:lang w:bidi="ar"/>
        </w:rPr>
      </w:pPr>
      <w:r>
        <w:rPr>
          <w:rFonts w:hint="eastAsia" w:ascii="Times New Roman" w:hAnsi="Times New Roman" w:cs="Times New Roman"/>
          <w:color w:val="auto"/>
          <w:kern w:val="0"/>
          <w:sz w:val="21"/>
          <w:szCs w:val="21"/>
          <w:highlight w:val="none"/>
          <w:lang w:val="en-US" w:eastAsia="zh-CN" w:bidi="ar"/>
        </w:rPr>
        <w:t>2.</w:t>
      </w:r>
      <w:r>
        <w:rPr>
          <w:rFonts w:hint="eastAsia" w:ascii="Times New Roman" w:hAnsi="Times New Roman" w:cs="Times New Roman"/>
          <w:color w:val="auto"/>
          <w:kern w:val="0"/>
          <w:sz w:val="21"/>
          <w:szCs w:val="21"/>
          <w:highlight w:val="none"/>
          <w:lang w:bidi="ar"/>
        </w:rPr>
        <w:t>科学性与先进性</w:t>
      </w:r>
    </w:p>
    <w:p w14:paraId="60F2649B">
      <w:pPr>
        <w:widowControl/>
        <w:spacing w:line="300" w:lineRule="auto"/>
        <w:ind w:firstLine="420" w:firstLineChars="200"/>
        <w:jc w:val="left"/>
        <w:rPr>
          <w:rFonts w:hint="eastAsia" w:ascii="Times New Roman" w:hAnsi="Times New Roman" w:cs="Times New Roman"/>
          <w:color w:val="auto"/>
          <w:kern w:val="0"/>
          <w:sz w:val="21"/>
          <w:szCs w:val="21"/>
          <w:highlight w:val="none"/>
          <w:lang w:bidi="ar"/>
        </w:rPr>
      </w:pPr>
      <w:r>
        <w:rPr>
          <w:rFonts w:hint="eastAsia" w:ascii="Times New Roman" w:hAnsi="Times New Roman" w:cs="Times New Roman"/>
          <w:color w:val="auto"/>
          <w:kern w:val="0"/>
          <w:sz w:val="21"/>
          <w:szCs w:val="21"/>
          <w:highlight w:val="none"/>
          <w:lang w:bidi="ar"/>
        </w:rPr>
        <w:t>在参考国内外最新研究成果和先进标准的基础上，结合我国</w:t>
      </w:r>
      <w:r>
        <w:rPr>
          <w:rFonts w:hint="eastAsia" w:ascii="Times New Roman" w:hAnsi="Times New Roman" w:eastAsia="仿宋" w:cs="Times New Roman"/>
          <w:i w:val="0"/>
          <w:iCs w:val="0"/>
          <w:caps w:val="0"/>
          <w:color w:val="auto"/>
          <w:spacing w:val="0"/>
          <w:kern w:val="0"/>
          <w:sz w:val="21"/>
          <w:szCs w:val="21"/>
          <w:highlight w:val="none"/>
          <w:shd w:val="clear"/>
          <w:lang w:bidi="ar"/>
        </w:rPr>
        <w:t>威海金苹果</w:t>
      </w:r>
      <w:r>
        <w:rPr>
          <w:rFonts w:hint="eastAsia" w:ascii="Times New Roman" w:hAnsi="Times New Roman" w:cs="Times New Roman"/>
          <w:color w:val="auto"/>
          <w:kern w:val="0"/>
          <w:sz w:val="21"/>
          <w:szCs w:val="21"/>
          <w:highlight w:val="none"/>
          <w:lang w:bidi="ar"/>
        </w:rPr>
        <w:t>生产实际，科学设定分级指标。引入果形指数、固酸比等更能反映内在品质的指标，使分级体系更科学。</w:t>
      </w:r>
    </w:p>
    <w:p w14:paraId="0583E949">
      <w:pPr>
        <w:widowControl/>
        <w:spacing w:line="300" w:lineRule="auto"/>
        <w:ind w:firstLine="420" w:firstLineChars="200"/>
        <w:jc w:val="left"/>
        <w:rPr>
          <w:rFonts w:hint="eastAsia" w:ascii="Times New Roman" w:hAnsi="Times New Roman" w:cs="Times New Roman"/>
          <w:color w:val="auto"/>
          <w:kern w:val="0"/>
          <w:sz w:val="21"/>
          <w:szCs w:val="21"/>
          <w:highlight w:val="none"/>
          <w:lang w:bidi="ar"/>
        </w:rPr>
      </w:pPr>
      <w:r>
        <w:rPr>
          <w:rFonts w:hint="eastAsia" w:ascii="Times New Roman" w:hAnsi="Times New Roman" w:cs="Times New Roman"/>
          <w:color w:val="auto"/>
          <w:kern w:val="0"/>
          <w:sz w:val="21"/>
          <w:szCs w:val="21"/>
          <w:highlight w:val="none"/>
          <w:lang w:val="en-US" w:eastAsia="zh-CN" w:bidi="ar"/>
        </w:rPr>
        <w:t>3.</w:t>
      </w:r>
      <w:r>
        <w:rPr>
          <w:rFonts w:hint="eastAsia" w:ascii="Times New Roman" w:hAnsi="Times New Roman" w:cs="Times New Roman"/>
          <w:color w:val="auto"/>
          <w:kern w:val="0"/>
          <w:sz w:val="21"/>
          <w:szCs w:val="21"/>
          <w:highlight w:val="none"/>
          <w:lang w:bidi="ar"/>
        </w:rPr>
        <w:t>适用性与可操作性：充分考虑产业链各环节（生产、收购、流通、销售）的实际需求和可操作性，将定性描述尽可能转化为定量或半定量指标（如明确“轻微磨伤”的面积和颜色），紧密对接消费市场和品牌建设需求，通过更细化的等级划分，引导生产者和经营者注重品质提升，实现“优质优价”。</w:t>
      </w:r>
    </w:p>
    <w:p w14:paraId="63ADFBD7">
      <w:pPr>
        <w:pStyle w:val="3"/>
        <w:keepNext w:val="0"/>
        <w:keepLines w:val="0"/>
        <w:spacing w:line="400" w:lineRule="exact"/>
        <w:ind w:firstLine="420"/>
        <w:rPr>
          <w:rFonts w:ascii="Times New Roman" w:hAnsi="Times New Roman" w:cs="Times New Roman"/>
          <w:b w:val="0"/>
          <w:bCs w:val="0"/>
          <w:color w:val="auto"/>
          <w:sz w:val="21"/>
          <w:szCs w:val="21"/>
          <w:highlight w:val="none"/>
        </w:rPr>
      </w:pPr>
      <w:r>
        <w:rPr>
          <w:rFonts w:ascii="Times New Roman" w:hAnsi="Times New Roman" w:cs="Times New Roman"/>
          <w:b w:val="0"/>
          <w:bCs w:val="0"/>
          <w:color w:val="auto"/>
          <w:sz w:val="21"/>
          <w:szCs w:val="21"/>
          <w:highlight w:val="none"/>
        </w:rPr>
        <w:t>（二）主要内容的依据</w:t>
      </w:r>
    </w:p>
    <w:p w14:paraId="153332DE">
      <w:pPr>
        <w:widowControl/>
        <w:spacing w:line="300" w:lineRule="auto"/>
        <w:ind w:firstLine="420" w:firstLineChars="200"/>
        <w:rPr>
          <w:rFonts w:hint="default" w:ascii="Times New Roman" w:hAnsi="Times New Roman" w:cs="Times New Roman"/>
          <w:color w:val="auto"/>
          <w:kern w:val="0"/>
          <w:sz w:val="21"/>
          <w:szCs w:val="21"/>
          <w:highlight w:val="none"/>
          <w:lang w:bidi="ar"/>
        </w:rPr>
      </w:pPr>
      <w:r>
        <w:rPr>
          <w:rFonts w:hint="eastAsia" w:ascii="Times New Roman" w:hAnsi="Times New Roman" w:cs="Times New Roman"/>
          <w:color w:val="auto"/>
          <w:kern w:val="0"/>
          <w:sz w:val="21"/>
          <w:szCs w:val="21"/>
          <w:highlight w:val="none"/>
          <w:lang w:val="en-US" w:eastAsia="zh-CN" w:bidi="ar"/>
        </w:rPr>
        <w:t>1.范围</w:t>
      </w:r>
      <w:r>
        <w:rPr>
          <w:rFonts w:hint="default" w:ascii="Times New Roman" w:hAnsi="Times New Roman" w:cs="Times New Roman"/>
          <w:color w:val="auto"/>
          <w:kern w:val="0"/>
          <w:sz w:val="21"/>
          <w:szCs w:val="21"/>
          <w:highlight w:val="none"/>
          <w:lang w:bidi="ar"/>
        </w:rPr>
        <w:t>：本标准明确规定了鲜食</w:t>
      </w:r>
      <w:r>
        <w:rPr>
          <w:rFonts w:hint="eastAsia" w:ascii="Times New Roman" w:hAnsi="Times New Roman" w:eastAsia="仿宋" w:cs="Times New Roman"/>
          <w:i w:val="0"/>
          <w:iCs w:val="0"/>
          <w:caps w:val="0"/>
          <w:color w:val="auto"/>
          <w:spacing w:val="0"/>
          <w:kern w:val="0"/>
          <w:sz w:val="21"/>
          <w:szCs w:val="21"/>
          <w:highlight w:val="none"/>
          <w:shd w:val="clear"/>
          <w:lang w:bidi="ar"/>
        </w:rPr>
        <w:t>威海金苹果</w:t>
      </w:r>
      <w:r>
        <w:rPr>
          <w:rFonts w:hint="default" w:ascii="Times New Roman" w:hAnsi="Times New Roman" w:cs="Times New Roman"/>
          <w:color w:val="auto"/>
          <w:kern w:val="0"/>
          <w:sz w:val="21"/>
          <w:szCs w:val="21"/>
          <w:highlight w:val="none"/>
          <w:lang w:bidi="ar"/>
        </w:rPr>
        <w:t>的质量等级、规格划分、检验方法、包装和标识要求。适用于</w:t>
      </w:r>
      <w:r>
        <w:rPr>
          <w:rFonts w:hint="eastAsia" w:ascii="Times New Roman" w:hAnsi="Times New Roman" w:eastAsia="仿宋" w:cs="Times New Roman"/>
          <w:i w:val="0"/>
          <w:iCs w:val="0"/>
          <w:caps w:val="0"/>
          <w:color w:val="auto"/>
          <w:spacing w:val="0"/>
          <w:kern w:val="0"/>
          <w:sz w:val="21"/>
          <w:szCs w:val="21"/>
          <w:highlight w:val="none"/>
          <w:shd w:val="clear"/>
          <w:lang w:bidi="ar"/>
        </w:rPr>
        <w:t>威海金苹果</w:t>
      </w:r>
      <w:r>
        <w:rPr>
          <w:rFonts w:hint="default" w:ascii="Times New Roman" w:hAnsi="Times New Roman" w:cs="Times New Roman"/>
          <w:color w:val="auto"/>
          <w:kern w:val="0"/>
          <w:sz w:val="21"/>
          <w:szCs w:val="21"/>
          <w:highlight w:val="none"/>
          <w:lang w:bidi="ar"/>
        </w:rPr>
        <w:t>的生产、收购、贮藏、运输和销售环节。</w:t>
      </w:r>
    </w:p>
    <w:p w14:paraId="49F8DE67">
      <w:pPr>
        <w:widowControl/>
        <w:spacing w:line="300" w:lineRule="auto"/>
        <w:ind w:firstLine="420" w:firstLineChars="200"/>
        <w:rPr>
          <w:rFonts w:hint="default" w:ascii="Times New Roman" w:hAnsi="Times New Roman" w:cs="Times New Roman"/>
          <w:color w:val="auto"/>
          <w:kern w:val="0"/>
          <w:sz w:val="21"/>
          <w:szCs w:val="21"/>
          <w:highlight w:val="none"/>
          <w:lang w:bidi="ar"/>
        </w:rPr>
      </w:pPr>
      <w:r>
        <w:rPr>
          <w:rFonts w:hint="eastAsia" w:ascii="Times New Roman" w:hAnsi="Times New Roman" w:cs="Times New Roman"/>
          <w:color w:val="auto"/>
          <w:kern w:val="0"/>
          <w:sz w:val="21"/>
          <w:szCs w:val="21"/>
          <w:highlight w:val="none"/>
          <w:lang w:val="en-US" w:eastAsia="zh-CN" w:bidi="ar"/>
        </w:rPr>
        <w:t>2.</w:t>
      </w:r>
      <w:r>
        <w:rPr>
          <w:rFonts w:hint="default" w:ascii="Times New Roman" w:hAnsi="Times New Roman" w:cs="Times New Roman"/>
          <w:color w:val="auto"/>
          <w:kern w:val="0"/>
          <w:sz w:val="21"/>
          <w:szCs w:val="21"/>
          <w:highlight w:val="none"/>
          <w:lang w:bidi="ar"/>
        </w:rPr>
        <w:t>规范性引用文件：主要引用了《鲜苹果》（GB/T10651）、NY/T2009水果硬度测定</w:t>
      </w:r>
      <w:r>
        <w:rPr>
          <w:rFonts w:hint="eastAsia" w:ascii="Times New Roman" w:hAnsi="Times New Roman" w:cs="Times New Roman"/>
          <w:color w:val="auto"/>
          <w:kern w:val="0"/>
          <w:sz w:val="21"/>
          <w:szCs w:val="21"/>
          <w:highlight w:val="none"/>
          <w:lang w:eastAsia="zh-CN" w:bidi="ar"/>
        </w:rPr>
        <w:t>、</w:t>
      </w:r>
      <w:r>
        <w:rPr>
          <w:rFonts w:hint="default" w:ascii="Times New Roman" w:hAnsi="Times New Roman" w:cs="Times New Roman"/>
          <w:color w:val="auto"/>
          <w:kern w:val="0"/>
          <w:sz w:val="21"/>
          <w:szCs w:val="21"/>
          <w:highlight w:val="none"/>
          <w:lang w:bidi="ar"/>
        </w:rPr>
        <w:t>NY/T2637水果和蔬菜可溶性固形物含量的测定折射仪法</w:t>
      </w:r>
      <w:r>
        <w:rPr>
          <w:rFonts w:hint="eastAsia" w:ascii="Times New Roman" w:hAnsi="Times New Roman" w:cs="Times New Roman"/>
          <w:color w:val="auto"/>
          <w:kern w:val="0"/>
          <w:sz w:val="21"/>
          <w:szCs w:val="21"/>
          <w:highlight w:val="none"/>
          <w:lang w:eastAsia="zh-CN" w:bidi="ar"/>
        </w:rPr>
        <w:t>、</w:t>
      </w:r>
      <w:r>
        <w:rPr>
          <w:rFonts w:hint="default" w:ascii="Times New Roman" w:hAnsi="Times New Roman" w:cs="Times New Roman"/>
          <w:color w:val="auto"/>
          <w:kern w:val="0"/>
          <w:sz w:val="21"/>
          <w:szCs w:val="21"/>
          <w:highlight w:val="none"/>
          <w:lang w:bidi="ar"/>
        </w:rPr>
        <w:t>GB12456食品安全国家标准食品中总酸的测定</w:t>
      </w:r>
      <w:r>
        <w:rPr>
          <w:rFonts w:hint="eastAsia" w:ascii="Times New Roman" w:hAnsi="Times New Roman" w:cs="Times New Roman"/>
          <w:color w:val="auto"/>
          <w:kern w:val="0"/>
          <w:sz w:val="21"/>
          <w:szCs w:val="21"/>
          <w:highlight w:val="none"/>
          <w:lang w:eastAsia="zh-CN" w:bidi="ar"/>
        </w:rPr>
        <w:t>、</w:t>
      </w:r>
      <w:r>
        <w:rPr>
          <w:rFonts w:hint="default" w:ascii="Times New Roman" w:hAnsi="Times New Roman" w:cs="Times New Roman"/>
          <w:color w:val="auto"/>
          <w:kern w:val="0"/>
          <w:sz w:val="21"/>
          <w:szCs w:val="21"/>
          <w:highlight w:val="none"/>
          <w:lang w:bidi="ar"/>
        </w:rPr>
        <w:t>《农产品等级规格评定技术规范通则》（NY/T2714）</w:t>
      </w:r>
      <w:r>
        <w:rPr>
          <w:rFonts w:hint="eastAsia" w:ascii="Times New Roman" w:hAnsi="Times New Roman" w:cs="Times New Roman"/>
          <w:color w:val="auto"/>
          <w:kern w:val="0"/>
          <w:sz w:val="21"/>
          <w:szCs w:val="21"/>
          <w:highlight w:val="none"/>
          <w:lang w:eastAsia="zh-CN" w:bidi="ar"/>
        </w:rPr>
        <w:t>、《威海苹果鲜果分级与检验》（DB3710/T111-2020）</w:t>
      </w:r>
      <w:r>
        <w:rPr>
          <w:rFonts w:hint="default" w:ascii="Times New Roman" w:hAnsi="Times New Roman" w:cs="Times New Roman"/>
          <w:color w:val="auto"/>
          <w:kern w:val="0"/>
          <w:sz w:val="21"/>
          <w:szCs w:val="21"/>
          <w:highlight w:val="none"/>
          <w:lang w:bidi="ar"/>
        </w:rPr>
        <w:t>等基础性标准。</w:t>
      </w:r>
    </w:p>
    <w:p w14:paraId="6949FDA2">
      <w:pPr>
        <w:widowControl/>
        <w:spacing w:line="300" w:lineRule="auto"/>
        <w:ind w:firstLine="420" w:firstLineChars="200"/>
        <w:rPr>
          <w:rFonts w:hint="default" w:ascii="Times New Roman" w:hAnsi="Times New Roman" w:cs="Times New Roman"/>
          <w:color w:val="auto"/>
          <w:kern w:val="0"/>
          <w:sz w:val="21"/>
          <w:szCs w:val="21"/>
          <w:highlight w:val="none"/>
          <w:lang w:bidi="ar"/>
        </w:rPr>
      </w:pPr>
      <w:r>
        <w:rPr>
          <w:rFonts w:hint="eastAsia" w:ascii="Times New Roman" w:hAnsi="Times New Roman" w:cs="Times New Roman"/>
          <w:color w:val="auto"/>
          <w:kern w:val="0"/>
          <w:sz w:val="21"/>
          <w:szCs w:val="21"/>
          <w:highlight w:val="none"/>
          <w:lang w:val="en-US" w:eastAsia="zh-CN" w:bidi="ar"/>
        </w:rPr>
        <w:t>3.标准中的</w:t>
      </w:r>
      <w:r>
        <w:rPr>
          <w:rFonts w:hint="default" w:ascii="Times New Roman" w:hAnsi="Times New Roman" w:cs="Times New Roman"/>
          <w:color w:val="auto"/>
          <w:kern w:val="0"/>
          <w:sz w:val="21"/>
          <w:szCs w:val="21"/>
          <w:highlight w:val="none"/>
          <w:lang w:bidi="ar"/>
        </w:rPr>
        <w:t>术语和定义：在GB/T10651的基础上，针对</w:t>
      </w:r>
      <w:r>
        <w:rPr>
          <w:rFonts w:hint="eastAsia" w:ascii="Times New Roman" w:hAnsi="Times New Roman" w:eastAsia="仿宋" w:cs="Times New Roman"/>
          <w:i w:val="0"/>
          <w:iCs w:val="0"/>
          <w:caps w:val="0"/>
          <w:color w:val="auto"/>
          <w:spacing w:val="0"/>
          <w:kern w:val="0"/>
          <w:sz w:val="21"/>
          <w:szCs w:val="21"/>
          <w:highlight w:val="none"/>
          <w:shd w:val="clear"/>
          <w:lang w:bidi="ar"/>
        </w:rPr>
        <w:t>威海金苹果</w:t>
      </w:r>
      <w:r>
        <w:rPr>
          <w:rFonts w:hint="default" w:ascii="Times New Roman" w:hAnsi="Times New Roman" w:cs="Times New Roman"/>
          <w:color w:val="auto"/>
          <w:kern w:val="0"/>
          <w:sz w:val="21"/>
          <w:szCs w:val="21"/>
          <w:highlight w:val="none"/>
          <w:lang w:bidi="ar"/>
        </w:rPr>
        <w:t>的特点，对果形</w:t>
      </w:r>
      <w:r>
        <w:rPr>
          <w:rFonts w:hint="eastAsia" w:ascii="Times New Roman" w:hAnsi="Times New Roman" w:cs="Times New Roman"/>
          <w:color w:val="auto"/>
          <w:kern w:val="0"/>
          <w:sz w:val="21"/>
          <w:szCs w:val="21"/>
          <w:highlight w:val="none"/>
          <w:lang w:val="en-US" w:eastAsia="zh-CN" w:bidi="ar"/>
        </w:rPr>
        <w:t>指数</w:t>
      </w:r>
      <w:r>
        <w:rPr>
          <w:rFonts w:hint="default" w:ascii="Times New Roman" w:hAnsi="Times New Roman" w:cs="Times New Roman"/>
          <w:color w:val="auto"/>
          <w:kern w:val="0"/>
          <w:sz w:val="21"/>
          <w:szCs w:val="21"/>
          <w:highlight w:val="none"/>
          <w:lang w:bidi="ar"/>
        </w:rPr>
        <w:t>、果锈等术语进行了更清晰、量化的定义，以减少理解歧义。</w:t>
      </w:r>
    </w:p>
    <w:p w14:paraId="7D4F9EE6">
      <w:pPr>
        <w:widowControl/>
        <w:spacing w:line="300" w:lineRule="auto"/>
        <w:ind w:firstLine="420" w:firstLineChars="200"/>
        <w:rPr>
          <w:rFonts w:hint="default" w:ascii="Times New Roman" w:hAnsi="Times New Roman" w:cs="Times New Roman"/>
          <w:color w:val="auto"/>
          <w:kern w:val="0"/>
          <w:sz w:val="21"/>
          <w:szCs w:val="21"/>
          <w:highlight w:val="none"/>
          <w:lang w:bidi="ar"/>
        </w:rPr>
      </w:pPr>
      <w:r>
        <w:rPr>
          <w:rFonts w:hint="eastAsia" w:ascii="Times New Roman" w:hAnsi="Times New Roman" w:cs="Times New Roman"/>
          <w:color w:val="auto"/>
          <w:kern w:val="0"/>
          <w:sz w:val="21"/>
          <w:szCs w:val="21"/>
          <w:highlight w:val="none"/>
          <w:lang w:val="en-US" w:eastAsia="zh-CN" w:bidi="ar"/>
        </w:rPr>
        <w:t>4.</w:t>
      </w:r>
      <w:r>
        <w:rPr>
          <w:rFonts w:hint="default" w:ascii="Times New Roman" w:hAnsi="Times New Roman" w:cs="Times New Roman"/>
          <w:color w:val="auto"/>
          <w:kern w:val="0"/>
          <w:sz w:val="21"/>
          <w:szCs w:val="21"/>
          <w:highlight w:val="none"/>
          <w:lang w:bidi="ar"/>
        </w:rPr>
        <w:t>质量要求：这是本标准的核心内容。</w:t>
      </w:r>
    </w:p>
    <w:p w14:paraId="16196BEB">
      <w:pPr>
        <w:widowControl/>
        <w:spacing w:line="300" w:lineRule="auto"/>
        <w:ind w:firstLine="420" w:firstLineChars="200"/>
        <w:rPr>
          <w:rFonts w:hint="default" w:ascii="Times New Roman" w:hAnsi="Times New Roman" w:cs="Times New Roman"/>
          <w:color w:val="auto"/>
          <w:kern w:val="0"/>
          <w:sz w:val="21"/>
          <w:szCs w:val="21"/>
          <w:highlight w:val="none"/>
          <w:lang w:bidi="ar"/>
        </w:rPr>
      </w:pPr>
      <w:r>
        <w:rPr>
          <w:rFonts w:hint="default" w:ascii="Times New Roman" w:hAnsi="Times New Roman" w:cs="Times New Roman"/>
          <w:color w:val="auto"/>
          <w:kern w:val="0"/>
          <w:sz w:val="21"/>
          <w:szCs w:val="21"/>
          <w:highlight w:val="none"/>
          <w:lang w:bidi="ar"/>
        </w:rPr>
        <w:t>基本要求：规定了果实必须完整、良好、无异常外部水分、无异味，且符合食品安全国家标准。</w:t>
      </w:r>
    </w:p>
    <w:p w14:paraId="40922E43">
      <w:pPr>
        <w:widowControl/>
        <w:spacing w:line="300" w:lineRule="auto"/>
        <w:ind w:firstLine="420" w:firstLineChars="200"/>
        <w:rPr>
          <w:rFonts w:hint="default" w:ascii="Times New Roman" w:hAnsi="Times New Roman" w:cs="Times New Roman"/>
          <w:color w:val="auto"/>
          <w:kern w:val="0"/>
          <w:sz w:val="21"/>
          <w:szCs w:val="21"/>
          <w:highlight w:val="none"/>
          <w:lang w:bidi="ar"/>
        </w:rPr>
      </w:pPr>
      <w:r>
        <w:rPr>
          <w:rFonts w:hint="default" w:ascii="Times New Roman" w:hAnsi="Times New Roman" w:cs="Times New Roman"/>
          <w:color w:val="auto"/>
          <w:kern w:val="0"/>
          <w:sz w:val="21"/>
          <w:szCs w:val="21"/>
          <w:highlight w:val="none"/>
          <w:lang w:bidi="ar"/>
        </w:rPr>
        <w:t>等级划分：将鲜食</w:t>
      </w:r>
      <w:r>
        <w:rPr>
          <w:rFonts w:hint="eastAsia" w:ascii="Times New Roman" w:hAnsi="Times New Roman" w:eastAsia="仿宋" w:cs="Times New Roman"/>
          <w:i w:val="0"/>
          <w:iCs w:val="0"/>
          <w:caps w:val="0"/>
          <w:color w:val="auto"/>
          <w:spacing w:val="0"/>
          <w:kern w:val="0"/>
          <w:sz w:val="21"/>
          <w:szCs w:val="21"/>
          <w:highlight w:val="none"/>
          <w:shd w:val="clear"/>
          <w:lang w:bidi="ar"/>
        </w:rPr>
        <w:t>威海金苹果</w:t>
      </w:r>
      <w:r>
        <w:rPr>
          <w:rFonts w:hint="default" w:ascii="Times New Roman" w:hAnsi="Times New Roman" w:cs="Times New Roman"/>
          <w:color w:val="auto"/>
          <w:kern w:val="0"/>
          <w:sz w:val="21"/>
          <w:szCs w:val="21"/>
          <w:highlight w:val="none"/>
          <w:lang w:bidi="ar"/>
        </w:rPr>
        <w:t>划分为精品果、一等果、二等果三个等级，并应符合表1的要求。</w:t>
      </w:r>
    </w:p>
    <w:p w14:paraId="278525C6">
      <w:pPr>
        <w:pStyle w:val="20"/>
        <w:numPr>
          <w:ilvl w:val="0"/>
          <w:numId w:val="0"/>
        </w:numPr>
        <w:spacing w:before="156" w:after="156"/>
        <w:rPr>
          <w:rFonts w:hint="default" w:ascii="Times New Roman" w:hAnsi="Times New Roman" w:cs="Times New Roman"/>
          <w:color w:val="auto"/>
          <w:kern w:val="0"/>
          <w:sz w:val="21"/>
          <w:szCs w:val="21"/>
          <w:highlight w:val="none"/>
          <w:lang w:bidi="ar"/>
        </w:rPr>
      </w:pPr>
      <w:r>
        <w:rPr>
          <w:rFonts w:ascii="Times New Roman"/>
          <w:color w:val="000000" w:themeColor="text1"/>
          <w:sz w:val="20"/>
          <w14:textFill>
            <w14:solidFill>
              <w14:schemeClr w14:val="tx1"/>
            </w14:solidFill>
          </w14:textFill>
        </w:rPr>
        <w:t>表1</w:t>
      </w:r>
      <w:r>
        <w:rPr>
          <w:rFonts w:hint="default" w:ascii="Times New Roman" w:hAnsi="Times New Roman" w:eastAsia="黑体" w:cs="Times New Roman"/>
          <w:i w:val="0"/>
          <w:iCs w:val="0"/>
          <w:caps w:val="0"/>
          <w:color w:val="000000" w:themeColor="text1"/>
          <w:spacing w:val="0"/>
          <w:kern w:val="0"/>
          <w:sz w:val="20"/>
          <w:szCs w:val="20"/>
          <w:shd w:val="clear"/>
          <w:lang w:bidi="ar"/>
          <w14:textFill>
            <w14:solidFill>
              <w14:schemeClr w14:val="tx1"/>
            </w14:solidFill>
          </w14:textFill>
        </w:rPr>
        <w:t>威海金苹果</w:t>
      </w:r>
      <w:r>
        <w:rPr>
          <w:rFonts w:ascii="Times New Roman"/>
          <w:color w:val="000000" w:themeColor="text1"/>
          <w:sz w:val="20"/>
          <w14:textFill>
            <w14:solidFill>
              <w14:schemeClr w14:val="tx1"/>
            </w14:solidFill>
          </w14:textFill>
        </w:rPr>
        <w:t>质量等级要求</w:t>
      </w:r>
    </w:p>
    <w:tbl>
      <w:tblPr>
        <w:tblStyle w:val="11"/>
        <w:tblW w:w="880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992"/>
        <w:gridCol w:w="2410"/>
        <w:gridCol w:w="2410"/>
        <w:gridCol w:w="2270"/>
        <w:gridCol w:w="16"/>
      </w:tblGrid>
      <w:tr w14:paraId="0C7F9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6" w:type="dxa"/>
          <w:trHeight w:val="370" w:hRule="atLeast"/>
        </w:trPr>
        <w:tc>
          <w:tcPr>
            <w:tcW w:w="1696" w:type="dxa"/>
            <w:gridSpan w:val="2"/>
            <w:vMerge w:val="restart"/>
            <w:vAlign w:val="center"/>
          </w:tcPr>
          <w:p w14:paraId="41EBDF12">
            <w:pPr>
              <w:pStyle w:val="26"/>
              <w:ind w:firstLine="0" w:firstLineChars="0"/>
              <w:jc w:val="center"/>
              <w:rPr>
                <w:rFonts w:ascii="Times New Roman"/>
                <w:color w:val="000000" w:themeColor="text1"/>
                <w:sz w:val="20"/>
                <w14:textFill>
                  <w14:solidFill>
                    <w14:schemeClr w14:val="tx1"/>
                  </w14:solidFill>
                </w14:textFill>
              </w:rPr>
            </w:pPr>
            <w:r>
              <w:rPr>
                <w:rFonts w:ascii="Times New Roman"/>
                <w:color w:val="000000" w:themeColor="text1"/>
                <w:sz w:val="20"/>
                <w14:textFill>
                  <w14:solidFill>
                    <w14:schemeClr w14:val="tx1"/>
                  </w14:solidFill>
                </w14:textFill>
              </w:rPr>
              <w:t>项目</w:t>
            </w:r>
          </w:p>
        </w:tc>
        <w:tc>
          <w:tcPr>
            <w:tcW w:w="7090" w:type="dxa"/>
            <w:gridSpan w:val="3"/>
            <w:vAlign w:val="center"/>
          </w:tcPr>
          <w:p w14:paraId="4796DB2A">
            <w:pPr>
              <w:pStyle w:val="26"/>
              <w:ind w:firstLine="0" w:firstLineChars="0"/>
              <w:jc w:val="center"/>
              <w:rPr>
                <w:rFonts w:ascii="Times New Roman"/>
                <w:color w:val="000000" w:themeColor="text1"/>
                <w:sz w:val="20"/>
                <w14:textFill>
                  <w14:solidFill>
                    <w14:schemeClr w14:val="tx1"/>
                  </w14:solidFill>
                </w14:textFill>
              </w:rPr>
            </w:pPr>
            <w:r>
              <w:rPr>
                <w:rFonts w:ascii="Times New Roman"/>
                <w:color w:val="000000" w:themeColor="text1"/>
                <w:sz w:val="20"/>
                <w14:textFill>
                  <w14:solidFill>
                    <w14:schemeClr w14:val="tx1"/>
                  </w14:solidFill>
                </w14:textFill>
              </w:rPr>
              <w:t>等级</w:t>
            </w:r>
          </w:p>
        </w:tc>
      </w:tr>
      <w:tr w14:paraId="4653A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6" w:type="dxa"/>
          <w:trHeight w:val="370" w:hRule="atLeast"/>
        </w:trPr>
        <w:tc>
          <w:tcPr>
            <w:tcW w:w="1696" w:type="dxa"/>
            <w:gridSpan w:val="2"/>
            <w:vMerge w:val="continue"/>
            <w:vAlign w:val="center"/>
          </w:tcPr>
          <w:p w14:paraId="1DE541C2">
            <w:pPr>
              <w:pStyle w:val="26"/>
              <w:ind w:firstLine="0" w:firstLineChars="0"/>
              <w:jc w:val="center"/>
              <w:rPr>
                <w:rFonts w:ascii="Times New Roman"/>
                <w:color w:val="000000" w:themeColor="text1"/>
                <w:sz w:val="20"/>
                <w14:textFill>
                  <w14:solidFill>
                    <w14:schemeClr w14:val="tx1"/>
                  </w14:solidFill>
                </w14:textFill>
              </w:rPr>
            </w:pPr>
          </w:p>
        </w:tc>
        <w:tc>
          <w:tcPr>
            <w:tcW w:w="2410" w:type="dxa"/>
            <w:vAlign w:val="center"/>
          </w:tcPr>
          <w:p w14:paraId="321F4615">
            <w:pPr>
              <w:pStyle w:val="26"/>
              <w:ind w:firstLine="0" w:firstLineChars="0"/>
              <w:jc w:val="center"/>
              <w:rPr>
                <w:rFonts w:ascii="Times New Roman"/>
                <w:color w:val="000000" w:themeColor="text1"/>
                <w:sz w:val="20"/>
                <w14:textFill>
                  <w14:solidFill>
                    <w14:schemeClr w14:val="tx1"/>
                  </w14:solidFill>
                </w14:textFill>
              </w:rPr>
            </w:pPr>
            <w:r>
              <w:rPr>
                <w:rFonts w:ascii="Times New Roman"/>
                <w:color w:val="000000" w:themeColor="text1"/>
                <w:sz w:val="20"/>
                <w14:textFill>
                  <w14:solidFill>
                    <w14:schemeClr w14:val="tx1"/>
                  </w14:solidFill>
                </w14:textFill>
              </w:rPr>
              <w:t>精品果</w:t>
            </w:r>
          </w:p>
        </w:tc>
        <w:tc>
          <w:tcPr>
            <w:tcW w:w="2410" w:type="dxa"/>
            <w:vAlign w:val="center"/>
          </w:tcPr>
          <w:p w14:paraId="029AD370">
            <w:pPr>
              <w:pStyle w:val="26"/>
              <w:ind w:left="252" w:hanging="252" w:hangingChars="126"/>
              <w:jc w:val="center"/>
              <w:rPr>
                <w:rFonts w:ascii="Times New Roman"/>
                <w:color w:val="000000" w:themeColor="text1"/>
                <w:sz w:val="20"/>
                <w14:textFill>
                  <w14:solidFill>
                    <w14:schemeClr w14:val="tx1"/>
                  </w14:solidFill>
                </w14:textFill>
              </w:rPr>
            </w:pPr>
            <w:r>
              <w:rPr>
                <w:rFonts w:ascii="Times New Roman"/>
                <w:color w:val="000000" w:themeColor="text1"/>
                <w:sz w:val="20"/>
                <w14:textFill>
                  <w14:solidFill>
                    <w14:schemeClr w14:val="tx1"/>
                  </w14:solidFill>
                </w14:textFill>
              </w:rPr>
              <w:t>一等果</w:t>
            </w:r>
          </w:p>
        </w:tc>
        <w:tc>
          <w:tcPr>
            <w:tcW w:w="2270" w:type="dxa"/>
            <w:vAlign w:val="center"/>
          </w:tcPr>
          <w:p w14:paraId="52D23A5D">
            <w:pPr>
              <w:pStyle w:val="26"/>
              <w:ind w:firstLine="0" w:firstLineChars="0"/>
              <w:jc w:val="center"/>
              <w:rPr>
                <w:rFonts w:ascii="Times New Roman"/>
                <w:color w:val="000000" w:themeColor="text1"/>
                <w:sz w:val="20"/>
                <w14:textFill>
                  <w14:solidFill>
                    <w14:schemeClr w14:val="tx1"/>
                  </w14:solidFill>
                </w14:textFill>
              </w:rPr>
            </w:pPr>
            <w:r>
              <w:rPr>
                <w:rFonts w:ascii="Times New Roman"/>
                <w:color w:val="000000" w:themeColor="text1"/>
                <w:sz w:val="20"/>
                <w14:textFill>
                  <w14:solidFill>
                    <w14:schemeClr w14:val="tx1"/>
                  </w14:solidFill>
                </w14:textFill>
              </w:rPr>
              <w:t>二等果</w:t>
            </w:r>
          </w:p>
        </w:tc>
      </w:tr>
      <w:tr w14:paraId="2886F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6" w:type="dxa"/>
          <w:trHeight w:val="720" w:hRule="atLeast"/>
        </w:trPr>
        <w:tc>
          <w:tcPr>
            <w:tcW w:w="1696" w:type="dxa"/>
            <w:gridSpan w:val="2"/>
            <w:vAlign w:val="center"/>
          </w:tcPr>
          <w:p w14:paraId="75477AC1">
            <w:pPr>
              <w:pStyle w:val="26"/>
              <w:ind w:firstLine="0" w:firstLineChars="0"/>
              <w:jc w:val="center"/>
              <w:rPr>
                <w:rFonts w:ascii="Times New Roman"/>
                <w:color w:val="000000" w:themeColor="text1"/>
                <w:sz w:val="20"/>
                <w14:textFill>
                  <w14:solidFill>
                    <w14:schemeClr w14:val="tx1"/>
                  </w14:solidFill>
                </w14:textFill>
              </w:rPr>
            </w:pPr>
            <w:r>
              <w:rPr>
                <w:rFonts w:ascii="Times New Roman"/>
                <w:color w:val="000000" w:themeColor="text1"/>
                <w:sz w:val="20"/>
                <w14:textFill>
                  <w14:solidFill>
                    <w14:schemeClr w14:val="tx1"/>
                  </w14:solidFill>
                </w14:textFill>
              </w:rPr>
              <w:t>基本要求</w:t>
            </w:r>
          </w:p>
        </w:tc>
        <w:tc>
          <w:tcPr>
            <w:tcW w:w="7090" w:type="dxa"/>
            <w:gridSpan w:val="3"/>
            <w:vAlign w:val="center"/>
          </w:tcPr>
          <w:p w14:paraId="7E32F374">
            <w:pPr>
              <w:pStyle w:val="26"/>
              <w:ind w:firstLine="0" w:firstLineChars="0"/>
              <w:jc w:val="left"/>
              <w:rPr>
                <w:rFonts w:ascii="Times New Roman"/>
                <w:color w:val="000000" w:themeColor="text1"/>
                <w:sz w:val="20"/>
                <w14:textFill>
                  <w14:solidFill>
                    <w14:schemeClr w14:val="tx1"/>
                  </w14:solidFill>
                </w14:textFill>
              </w:rPr>
            </w:pPr>
            <w:r>
              <w:rPr>
                <w:rFonts w:ascii="Times New Roman"/>
                <w:color w:val="000000" w:themeColor="text1"/>
                <w:sz w:val="20"/>
                <w14:textFill>
                  <w14:solidFill>
                    <w14:schemeClr w14:val="tx1"/>
                  </w14:solidFill>
                </w14:textFill>
              </w:rPr>
              <w:t>果实完整，果个整齐，果面新鲜洁净，果梗完整；无褐变、病果、虫果、异味，无异常外部水分，具有适宜市场或贮存要求的成熟度。</w:t>
            </w:r>
          </w:p>
        </w:tc>
      </w:tr>
      <w:tr w14:paraId="2912F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6" w:type="dxa"/>
          <w:trHeight w:val="370" w:hRule="atLeast"/>
        </w:trPr>
        <w:tc>
          <w:tcPr>
            <w:tcW w:w="1696" w:type="dxa"/>
            <w:gridSpan w:val="2"/>
            <w:vAlign w:val="center"/>
          </w:tcPr>
          <w:p w14:paraId="0D2684B3">
            <w:pPr>
              <w:pStyle w:val="26"/>
              <w:ind w:firstLine="0" w:firstLineChars="0"/>
              <w:jc w:val="center"/>
              <w:rPr>
                <w:rFonts w:ascii="Times New Roman"/>
                <w:color w:val="000000" w:themeColor="text1"/>
                <w:sz w:val="20"/>
                <w14:textFill>
                  <w14:solidFill>
                    <w14:schemeClr w14:val="tx1"/>
                  </w14:solidFill>
                </w14:textFill>
              </w:rPr>
            </w:pPr>
            <w:r>
              <w:rPr>
                <w:rFonts w:ascii="Times New Roman"/>
                <w:color w:val="000000" w:themeColor="text1"/>
                <w:sz w:val="20"/>
                <w14:textFill>
                  <w14:solidFill>
                    <w14:schemeClr w14:val="tx1"/>
                  </w14:solidFill>
                </w14:textFill>
              </w:rPr>
              <w:t>色泽</w:t>
            </w:r>
          </w:p>
        </w:tc>
        <w:tc>
          <w:tcPr>
            <w:tcW w:w="2410" w:type="dxa"/>
            <w:vAlign w:val="center"/>
          </w:tcPr>
          <w:p w14:paraId="35BEEA9D">
            <w:pPr>
              <w:pStyle w:val="26"/>
              <w:ind w:firstLine="0" w:firstLineChars="0"/>
              <w:jc w:val="center"/>
              <w:rPr>
                <w:rFonts w:hint="eastAsia" w:ascii="Times New Roman"/>
                <w:color w:val="000000" w:themeColor="text1"/>
                <w:sz w:val="20"/>
                <w14:textFill>
                  <w14:solidFill>
                    <w14:schemeClr w14:val="tx1"/>
                  </w14:solidFill>
                </w14:textFill>
              </w:rPr>
            </w:pPr>
            <w:r>
              <w:rPr>
                <w:rFonts w:hint="eastAsia" w:ascii="Times New Roman"/>
                <w:color w:val="000000" w:themeColor="text1"/>
                <w:sz w:val="20"/>
                <w14:textFill>
                  <w14:solidFill>
                    <w14:schemeClr w14:val="tx1"/>
                  </w14:solidFill>
                </w14:textFill>
              </w:rPr>
              <w:t>金黄色</w:t>
            </w:r>
          </w:p>
        </w:tc>
        <w:tc>
          <w:tcPr>
            <w:tcW w:w="2410" w:type="dxa"/>
            <w:vAlign w:val="center"/>
          </w:tcPr>
          <w:p w14:paraId="783B6019">
            <w:pPr>
              <w:pStyle w:val="26"/>
              <w:ind w:firstLine="0" w:firstLineChars="0"/>
              <w:jc w:val="center"/>
              <w:rPr>
                <w:rFonts w:hint="eastAsia" w:ascii="Times New Roman"/>
                <w:color w:val="000000" w:themeColor="text1"/>
                <w:sz w:val="20"/>
                <w14:textFill>
                  <w14:solidFill>
                    <w14:schemeClr w14:val="tx1"/>
                  </w14:solidFill>
                </w14:textFill>
              </w:rPr>
            </w:pPr>
            <w:bookmarkStart w:id="1" w:name="OLE_LINK30"/>
            <w:r>
              <w:rPr>
                <w:rFonts w:hint="eastAsia" w:ascii="Times New Roman"/>
                <w:color w:val="000000" w:themeColor="text1"/>
                <w:sz w:val="20"/>
                <w14:textFill>
                  <w14:solidFill>
                    <w14:schemeClr w14:val="tx1"/>
                  </w14:solidFill>
                </w14:textFill>
              </w:rPr>
              <w:t>黄、绿黄色</w:t>
            </w:r>
            <w:bookmarkEnd w:id="1"/>
          </w:p>
        </w:tc>
        <w:tc>
          <w:tcPr>
            <w:tcW w:w="2270" w:type="dxa"/>
            <w:vAlign w:val="center"/>
          </w:tcPr>
          <w:p w14:paraId="33A44D9A">
            <w:pPr>
              <w:pStyle w:val="26"/>
              <w:ind w:firstLine="0" w:firstLineChars="0"/>
              <w:jc w:val="center"/>
              <w:rPr>
                <w:rFonts w:hint="eastAsia" w:ascii="Times New Roman"/>
                <w:color w:val="000000" w:themeColor="text1"/>
                <w:sz w:val="20"/>
                <w14:textFill>
                  <w14:solidFill>
                    <w14:schemeClr w14:val="tx1"/>
                  </w14:solidFill>
                </w14:textFill>
              </w:rPr>
            </w:pPr>
            <w:r>
              <w:rPr>
                <w:rFonts w:hint="eastAsia" w:ascii="Times New Roman"/>
                <w:color w:val="000000" w:themeColor="text1"/>
                <w:sz w:val="20"/>
                <w14:textFill>
                  <w14:solidFill>
                    <w14:schemeClr w14:val="tx1"/>
                  </w14:solidFill>
                </w14:textFill>
              </w:rPr>
              <w:t>黄、绿黄色</w:t>
            </w:r>
          </w:p>
        </w:tc>
      </w:tr>
      <w:tr w14:paraId="139D4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6" w:type="dxa"/>
          <w:trHeight w:val="370" w:hRule="atLeast"/>
        </w:trPr>
        <w:tc>
          <w:tcPr>
            <w:tcW w:w="1696" w:type="dxa"/>
            <w:gridSpan w:val="2"/>
            <w:vAlign w:val="center"/>
          </w:tcPr>
          <w:p w14:paraId="6774EA1B">
            <w:pPr>
              <w:pStyle w:val="26"/>
              <w:ind w:firstLine="0" w:firstLineChars="0"/>
              <w:jc w:val="center"/>
              <w:rPr>
                <w:rFonts w:ascii="Times New Roman"/>
                <w:color w:val="000000" w:themeColor="text1"/>
                <w:sz w:val="20"/>
                <w14:textFill>
                  <w14:solidFill>
                    <w14:schemeClr w14:val="tx1"/>
                  </w14:solidFill>
                </w14:textFill>
              </w:rPr>
            </w:pPr>
            <w:r>
              <w:rPr>
                <w:rFonts w:ascii="Times New Roman"/>
                <w:color w:val="000000" w:themeColor="text1"/>
                <w:sz w:val="20"/>
                <w14:textFill>
                  <w14:solidFill>
                    <w14:schemeClr w14:val="tx1"/>
                  </w14:solidFill>
                </w14:textFill>
              </w:rPr>
              <w:t>果形</w:t>
            </w:r>
          </w:p>
        </w:tc>
        <w:tc>
          <w:tcPr>
            <w:tcW w:w="2410" w:type="dxa"/>
            <w:vAlign w:val="center"/>
          </w:tcPr>
          <w:p w14:paraId="582AB046">
            <w:pPr>
              <w:pStyle w:val="26"/>
              <w:ind w:firstLine="0" w:firstLineChars="0"/>
              <w:jc w:val="center"/>
              <w:rPr>
                <w:rFonts w:ascii="Times New Roman"/>
                <w:color w:val="000000" w:themeColor="text1"/>
                <w:sz w:val="20"/>
                <w14:textFill>
                  <w14:solidFill>
                    <w14:schemeClr w14:val="tx1"/>
                  </w14:solidFill>
                </w14:textFill>
              </w:rPr>
            </w:pPr>
            <w:r>
              <w:rPr>
                <w:rFonts w:ascii="Times New Roman"/>
                <w:color w:val="000000" w:themeColor="text1"/>
                <w:sz w:val="20"/>
                <w14:textFill>
                  <w14:solidFill>
                    <w14:schemeClr w14:val="tx1"/>
                  </w14:solidFill>
                </w14:textFill>
              </w:rPr>
              <w:t>具有本品种应有的特征</w:t>
            </w:r>
          </w:p>
        </w:tc>
        <w:tc>
          <w:tcPr>
            <w:tcW w:w="2410" w:type="dxa"/>
            <w:vAlign w:val="center"/>
          </w:tcPr>
          <w:p w14:paraId="51A30EC1">
            <w:pPr>
              <w:pStyle w:val="26"/>
              <w:ind w:firstLine="0" w:firstLineChars="0"/>
              <w:jc w:val="center"/>
              <w:rPr>
                <w:rFonts w:ascii="Times New Roman"/>
                <w:color w:val="000000" w:themeColor="text1"/>
                <w:sz w:val="20"/>
                <w14:textFill>
                  <w14:solidFill>
                    <w14:schemeClr w14:val="tx1"/>
                  </w14:solidFill>
                </w14:textFill>
              </w:rPr>
            </w:pPr>
            <w:r>
              <w:rPr>
                <w:rFonts w:ascii="Times New Roman"/>
                <w:color w:val="000000" w:themeColor="text1"/>
                <w:sz w:val="20"/>
                <w14:textFill>
                  <w14:solidFill>
                    <w14:schemeClr w14:val="tx1"/>
                  </w14:solidFill>
                </w14:textFill>
              </w:rPr>
              <w:t>比较端正，允许果形有轻微缺点</w:t>
            </w:r>
          </w:p>
        </w:tc>
        <w:tc>
          <w:tcPr>
            <w:tcW w:w="2270" w:type="dxa"/>
            <w:vAlign w:val="center"/>
          </w:tcPr>
          <w:p w14:paraId="02F632AA">
            <w:pPr>
              <w:pStyle w:val="26"/>
              <w:ind w:firstLine="0" w:firstLineChars="0"/>
              <w:jc w:val="center"/>
              <w:rPr>
                <w:rFonts w:ascii="Times New Roman"/>
                <w:color w:val="000000" w:themeColor="text1"/>
                <w:sz w:val="20"/>
                <w14:textFill>
                  <w14:solidFill>
                    <w14:schemeClr w14:val="tx1"/>
                  </w14:solidFill>
                </w14:textFill>
              </w:rPr>
            </w:pPr>
            <w:r>
              <w:rPr>
                <w:rFonts w:ascii="Times New Roman"/>
                <w:color w:val="000000" w:themeColor="text1"/>
                <w:sz w:val="20"/>
                <w14:textFill>
                  <w14:solidFill>
                    <w14:schemeClr w14:val="tx1"/>
                  </w14:solidFill>
                </w14:textFill>
              </w:rPr>
              <w:t>果形有缺陷，但仍保持</w:t>
            </w:r>
            <w:r>
              <w:rPr>
                <w:rFonts w:hint="eastAsia" w:ascii="Times New Roman"/>
                <w:color w:val="000000" w:themeColor="text1"/>
                <w:sz w:val="20"/>
                <w:lang w:eastAsia="zh-CN"/>
                <w14:textFill>
                  <w14:solidFill>
                    <w14:schemeClr w14:val="tx1"/>
                  </w14:solidFill>
                </w14:textFill>
              </w:rPr>
              <w:t>本品种</w:t>
            </w:r>
            <w:r>
              <w:rPr>
                <w:rFonts w:ascii="Times New Roman"/>
                <w:color w:val="000000" w:themeColor="text1"/>
                <w:sz w:val="20"/>
                <w14:textFill>
                  <w14:solidFill>
                    <w14:schemeClr w14:val="tx1"/>
                  </w14:solidFill>
                </w14:textFill>
              </w:rPr>
              <w:t>特征，不得有畸形果</w:t>
            </w:r>
          </w:p>
        </w:tc>
      </w:tr>
      <w:tr w14:paraId="3F893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6" w:type="dxa"/>
          <w:trHeight w:val="370" w:hRule="atLeast"/>
        </w:trPr>
        <w:tc>
          <w:tcPr>
            <w:tcW w:w="704" w:type="dxa"/>
            <w:vMerge w:val="restart"/>
            <w:vAlign w:val="center"/>
          </w:tcPr>
          <w:p w14:paraId="52E91118">
            <w:pPr>
              <w:pStyle w:val="26"/>
              <w:ind w:firstLine="0" w:firstLineChars="0"/>
              <w:jc w:val="center"/>
              <w:rPr>
                <w:rFonts w:ascii="Times New Roman"/>
                <w:color w:val="000000" w:themeColor="text1"/>
                <w:sz w:val="20"/>
                <w14:textFill>
                  <w14:solidFill>
                    <w14:schemeClr w14:val="tx1"/>
                  </w14:solidFill>
                </w14:textFill>
              </w:rPr>
            </w:pPr>
            <w:r>
              <w:rPr>
                <w:rFonts w:ascii="Times New Roman"/>
                <w:color w:val="000000" w:themeColor="text1"/>
                <w:sz w:val="20"/>
                <w14:textFill>
                  <w14:solidFill>
                    <w14:schemeClr w14:val="tx1"/>
                  </w14:solidFill>
                </w14:textFill>
              </w:rPr>
              <w:t>果锈</w:t>
            </w:r>
          </w:p>
        </w:tc>
        <w:tc>
          <w:tcPr>
            <w:tcW w:w="992" w:type="dxa"/>
            <w:vAlign w:val="center"/>
          </w:tcPr>
          <w:p w14:paraId="5241A69A">
            <w:pPr>
              <w:pStyle w:val="26"/>
              <w:ind w:firstLine="0" w:firstLineChars="0"/>
              <w:jc w:val="center"/>
              <w:rPr>
                <w:rFonts w:ascii="Times New Roman"/>
                <w:color w:val="000000" w:themeColor="text1"/>
                <w:sz w:val="20"/>
                <w14:textFill>
                  <w14:solidFill>
                    <w14:schemeClr w14:val="tx1"/>
                  </w14:solidFill>
                </w14:textFill>
              </w:rPr>
            </w:pPr>
            <w:bookmarkStart w:id="2" w:name="OLE_LINK19"/>
            <w:r>
              <w:rPr>
                <w:rFonts w:ascii="Times New Roman"/>
                <w:color w:val="000000" w:themeColor="text1"/>
                <w:sz w:val="20"/>
                <w14:textFill>
                  <w14:solidFill>
                    <w14:schemeClr w14:val="tx1"/>
                  </w14:solidFill>
                </w14:textFill>
              </w:rPr>
              <w:t>褐色片锈（梗洼锈）</w:t>
            </w:r>
            <w:bookmarkEnd w:id="2"/>
          </w:p>
        </w:tc>
        <w:tc>
          <w:tcPr>
            <w:tcW w:w="2410" w:type="dxa"/>
            <w:vAlign w:val="center"/>
          </w:tcPr>
          <w:p w14:paraId="3BA13677">
            <w:pPr>
              <w:pStyle w:val="26"/>
              <w:ind w:firstLine="0" w:firstLineChars="0"/>
              <w:jc w:val="center"/>
              <w:rPr>
                <w:rFonts w:ascii="Times New Roman"/>
                <w:color w:val="000000" w:themeColor="text1"/>
                <w:sz w:val="20"/>
                <w14:textFill>
                  <w14:solidFill>
                    <w14:schemeClr w14:val="tx1"/>
                  </w14:solidFill>
                </w14:textFill>
              </w:rPr>
            </w:pPr>
            <w:r>
              <w:rPr>
                <w:rFonts w:ascii="Times New Roman"/>
                <w:color w:val="000000" w:themeColor="text1"/>
                <w:sz w:val="20"/>
                <w14:textFill>
                  <w14:solidFill>
                    <w14:schemeClr w14:val="tx1"/>
                  </w14:solidFill>
                </w14:textFill>
              </w:rPr>
              <w:t>无</w:t>
            </w:r>
          </w:p>
        </w:tc>
        <w:tc>
          <w:tcPr>
            <w:tcW w:w="2410" w:type="dxa"/>
            <w:vAlign w:val="center"/>
          </w:tcPr>
          <w:p w14:paraId="32B348E0">
            <w:pPr>
              <w:pStyle w:val="9"/>
              <w:rPr>
                <w:rFonts w:ascii="Times New Roman" w:hAnsi="Times New Roman" w:cs="Times New Roman"/>
                <w:sz w:val="20"/>
                <w:szCs w:val="20"/>
              </w:rPr>
            </w:pPr>
            <w:r>
              <w:rPr>
                <w:rFonts w:ascii="Times New Roman" w:hAnsi="Times New Roman" w:cs="Times New Roman"/>
                <w:sz w:val="20"/>
                <w:szCs w:val="20"/>
              </w:rPr>
              <w:t>不超过梗洼，有不粗糙的轻微梗洼锈</w:t>
            </w:r>
          </w:p>
        </w:tc>
        <w:tc>
          <w:tcPr>
            <w:tcW w:w="2270" w:type="dxa"/>
            <w:vAlign w:val="center"/>
          </w:tcPr>
          <w:p w14:paraId="22FF8475">
            <w:pPr>
              <w:pStyle w:val="10"/>
              <w:rPr>
                <w:rFonts w:hint="eastAsia" w:ascii="Times New Roman" w:hAnsi="Times New Roman" w:eastAsia="仿宋" w:cs="Times New Roman"/>
                <w:sz w:val="20"/>
                <w:szCs w:val="20"/>
                <w:lang w:eastAsia="zh-CN"/>
              </w:rPr>
            </w:pPr>
            <w:r>
              <w:rPr>
                <w:rFonts w:ascii="Times New Roman" w:hAnsi="Times New Roman" w:cs="Times New Roman"/>
                <w:sz w:val="20"/>
                <w:szCs w:val="20"/>
              </w:rPr>
              <w:t>有轻微超过梗洼外的锈斑，表面不粗糙，单边宽度≤0.5cm</w:t>
            </w:r>
          </w:p>
        </w:tc>
      </w:tr>
      <w:tr w14:paraId="5BAB3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6" w:type="dxa"/>
          <w:trHeight w:val="370" w:hRule="atLeast"/>
        </w:trPr>
        <w:tc>
          <w:tcPr>
            <w:tcW w:w="704" w:type="dxa"/>
            <w:vMerge w:val="continue"/>
            <w:vAlign w:val="center"/>
          </w:tcPr>
          <w:p w14:paraId="3855E808">
            <w:pPr>
              <w:pStyle w:val="26"/>
              <w:ind w:firstLine="0" w:firstLineChars="0"/>
              <w:jc w:val="center"/>
              <w:rPr>
                <w:rFonts w:ascii="Times New Roman"/>
                <w:color w:val="000000" w:themeColor="text1"/>
                <w:sz w:val="20"/>
                <w14:textFill>
                  <w14:solidFill>
                    <w14:schemeClr w14:val="tx1"/>
                  </w14:solidFill>
                </w14:textFill>
              </w:rPr>
            </w:pPr>
          </w:p>
        </w:tc>
        <w:tc>
          <w:tcPr>
            <w:tcW w:w="992" w:type="dxa"/>
            <w:vAlign w:val="center"/>
          </w:tcPr>
          <w:p w14:paraId="52B353D8">
            <w:pPr>
              <w:pStyle w:val="26"/>
              <w:ind w:firstLine="0" w:firstLineChars="0"/>
              <w:jc w:val="center"/>
              <w:rPr>
                <w:rFonts w:ascii="Times New Roman"/>
                <w:color w:val="000000" w:themeColor="text1"/>
                <w:sz w:val="20"/>
                <w14:textFill>
                  <w14:solidFill>
                    <w14:schemeClr w14:val="tx1"/>
                  </w14:solidFill>
                </w14:textFill>
              </w:rPr>
            </w:pPr>
            <w:r>
              <w:rPr>
                <w:rFonts w:ascii="Times New Roman"/>
                <w:color w:val="000000" w:themeColor="text1"/>
                <w:sz w:val="20"/>
                <w14:textFill>
                  <w14:solidFill>
                    <w14:schemeClr w14:val="tx1"/>
                  </w14:solidFill>
                </w14:textFill>
              </w:rPr>
              <w:t>网状薄层（萼洼锈）</w:t>
            </w:r>
          </w:p>
        </w:tc>
        <w:tc>
          <w:tcPr>
            <w:tcW w:w="2410" w:type="dxa"/>
            <w:vAlign w:val="center"/>
          </w:tcPr>
          <w:p w14:paraId="44A4769C">
            <w:pPr>
              <w:pStyle w:val="26"/>
              <w:ind w:firstLine="0" w:firstLineChars="0"/>
              <w:jc w:val="center"/>
              <w:rPr>
                <w:rFonts w:ascii="Times New Roman"/>
                <w:color w:val="000000" w:themeColor="text1"/>
                <w:sz w:val="20"/>
                <w14:textFill>
                  <w14:solidFill>
                    <w14:schemeClr w14:val="tx1"/>
                  </w14:solidFill>
                </w14:textFill>
              </w:rPr>
            </w:pPr>
            <w:r>
              <w:rPr>
                <w:rFonts w:ascii="Times New Roman"/>
                <w:color w:val="000000" w:themeColor="text1"/>
                <w:sz w:val="20"/>
                <w14:textFill>
                  <w14:solidFill>
                    <w14:schemeClr w14:val="tx1"/>
                  </w14:solidFill>
                </w14:textFill>
              </w:rPr>
              <w:t>无</w:t>
            </w:r>
          </w:p>
        </w:tc>
        <w:tc>
          <w:tcPr>
            <w:tcW w:w="2410" w:type="dxa"/>
            <w:vAlign w:val="center"/>
          </w:tcPr>
          <w:p w14:paraId="74672326">
            <w:pPr>
              <w:pStyle w:val="10"/>
              <w:rPr>
                <w:rFonts w:hint="eastAsia" w:ascii="Times New Roman" w:hAnsi="Times New Roman" w:eastAsia="仿宋" w:cs="Times New Roman"/>
                <w:sz w:val="20"/>
                <w:szCs w:val="20"/>
                <w:lang w:eastAsia="zh-CN"/>
              </w:rPr>
            </w:pPr>
            <w:r>
              <w:rPr>
                <w:rFonts w:ascii="Times New Roman" w:hAnsi="Times New Roman" w:cs="Times New Roman"/>
                <w:sz w:val="20"/>
                <w:szCs w:val="20"/>
              </w:rPr>
              <w:t>不超过萼洼的轻微萼锈</w:t>
            </w:r>
          </w:p>
        </w:tc>
        <w:tc>
          <w:tcPr>
            <w:tcW w:w="2270" w:type="dxa"/>
            <w:vAlign w:val="center"/>
          </w:tcPr>
          <w:p w14:paraId="33BC58E6">
            <w:pPr>
              <w:pStyle w:val="10"/>
              <w:rPr>
                <w:rFonts w:ascii="Times New Roman" w:hAnsi="Times New Roman" w:cs="Times New Roman"/>
                <w:sz w:val="20"/>
                <w:szCs w:val="20"/>
              </w:rPr>
            </w:pPr>
            <w:r>
              <w:rPr>
                <w:rFonts w:ascii="Times New Roman" w:hAnsi="Times New Roman" w:cs="Times New Roman"/>
                <w:sz w:val="20"/>
                <w:szCs w:val="20"/>
              </w:rPr>
              <w:t>有平滑网状薄层，总面积不超过果面的10%</w:t>
            </w:r>
          </w:p>
        </w:tc>
      </w:tr>
      <w:tr w14:paraId="3719D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6" w:type="dxa"/>
          <w:trHeight w:val="370" w:hRule="atLeast"/>
        </w:trPr>
        <w:tc>
          <w:tcPr>
            <w:tcW w:w="704" w:type="dxa"/>
            <w:vMerge w:val="continue"/>
            <w:vAlign w:val="center"/>
          </w:tcPr>
          <w:p w14:paraId="518CFAB8">
            <w:pPr>
              <w:pStyle w:val="26"/>
              <w:ind w:firstLine="0" w:firstLineChars="0"/>
              <w:jc w:val="center"/>
              <w:rPr>
                <w:rFonts w:ascii="Times New Roman"/>
                <w:color w:val="000000" w:themeColor="text1"/>
                <w:sz w:val="20"/>
                <w14:textFill>
                  <w14:solidFill>
                    <w14:schemeClr w14:val="tx1"/>
                  </w14:solidFill>
                </w14:textFill>
              </w:rPr>
            </w:pPr>
          </w:p>
        </w:tc>
        <w:tc>
          <w:tcPr>
            <w:tcW w:w="992" w:type="dxa"/>
            <w:vAlign w:val="center"/>
          </w:tcPr>
          <w:p w14:paraId="287B511E">
            <w:pPr>
              <w:pStyle w:val="26"/>
              <w:ind w:firstLine="0" w:firstLineChars="0"/>
              <w:jc w:val="center"/>
              <w:rPr>
                <w:rFonts w:ascii="Times New Roman"/>
                <w:color w:val="000000" w:themeColor="text1"/>
                <w:sz w:val="20"/>
                <w14:textFill>
                  <w14:solidFill>
                    <w14:schemeClr w14:val="tx1"/>
                  </w14:solidFill>
                </w14:textFill>
              </w:rPr>
            </w:pPr>
            <w:r>
              <w:rPr>
                <w:rFonts w:ascii="Times New Roman"/>
                <w:color w:val="000000" w:themeColor="text1"/>
                <w:sz w:val="20"/>
                <w14:textFill>
                  <w14:solidFill>
                    <w14:schemeClr w14:val="tx1"/>
                  </w14:solidFill>
                </w14:textFill>
              </w:rPr>
              <w:t>重锈斑（果面锈）</w:t>
            </w:r>
          </w:p>
        </w:tc>
        <w:tc>
          <w:tcPr>
            <w:tcW w:w="2410" w:type="dxa"/>
            <w:vAlign w:val="center"/>
          </w:tcPr>
          <w:p w14:paraId="1DE3B16F">
            <w:pPr>
              <w:pStyle w:val="26"/>
              <w:ind w:firstLine="0" w:firstLineChars="0"/>
              <w:jc w:val="center"/>
              <w:rPr>
                <w:rFonts w:ascii="Times New Roman"/>
                <w:color w:val="000000" w:themeColor="text1"/>
                <w:sz w:val="20"/>
                <w14:textFill>
                  <w14:solidFill>
                    <w14:schemeClr w14:val="tx1"/>
                  </w14:solidFill>
                </w14:textFill>
              </w:rPr>
            </w:pPr>
            <w:r>
              <w:rPr>
                <w:rFonts w:ascii="Times New Roman"/>
                <w:color w:val="000000" w:themeColor="text1"/>
                <w:sz w:val="20"/>
                <w14:textFill>
                  <w14:solidFill>
                    <w14:schemeClr w14:val="tx1"/>
                  </w14:solidFill>
                </w14:textFill>
              </w:rPr>
              <w:t>无</w:t>
            </w:r>
          </w:p>
        </w:tc>
        <w:tc>
          <w:tcPr>
            <w:tcW w:w="2410" w:type="dxa"/>
            <w:vAlign w:val="center"/>
          </w:tcPr>
          <w:p w14:paraId="431AB861">
            <w:pPr>
              <w:pStyle w:val="26"/>
              <w:ind w:firstLine="0" w:firstLineChars="0"/>
              <w:jc w:val="center"/>
              <w:rPr>
                <w:rFonts w:ascii="Times New Roman"/>
                <w:color w:val="000000" w:themeColor="text1"/>
                <w:sz w:val="20"/>
                <w14:textFill>
                  <w14:solidFill>
                    <w14:schemeClr w14:val="tx1"/>
                  </w14:solidFill>
                </w14:textFill>
              </w:rPr>
            </w:pPr>
            <w:r>
              <w:rPr>
                <w:rFonts w:ascii="Times New Roman"/>
                <w:sz w:val="20"/>
              </w:rPr>
              <w:t>不得超过果面的2%</w:t>
            </w:r>
          </w:p>
        </w:tc>
        <w:tc>
          <w:tcPr>
            <w:tcW w:w="2270" w:type="dxa"/>
            <w:vAlign w:val="center"/>
          </w:tcPr>
          <w:p w14:paraId="73203EE5">
            <w:pPr>
              <w:pStyle w:val="10"/>
              <w:rPr>
                <w:rFonts w:hint="eastAsia" w:ascii="Times New Roman" w:hAnsi="Times New Roman" w:eastAsia="仿宋" w:cs="Times New Roman"/>
                <w:sz w:val="20"/>
                <w:szCs w:val="20"/>
                <w:lang w:eastAsia="zh-CN"/>
              </w:rPr>
            </w:pPr>
            <w:r>
              <w:rPr>
                <w:rFonts w:ascii="Times New Roman" w:hAnsi="Times New Roman" w:cs="Times New Roman"/>
                <w:sz w:val="20"/>
                <w:szCs w:val="20"/>
              </w:rPr>
              <w:t>不得超过果面的5%</w:t>
            </w:r>
          </w:p>
        </w:tc>
      </w:tr>
      <w:tr w14:paraId="4BEC7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6" w:type="dxa"/>
          <w:trHeight w:val="370" w:hRule="atLeast"/>
        </w:trPr>
        <w:tc>
          <w:tcPr>
            <w:tcW w:w="704" w:type="dxa"/>
            <w:vMerge w:val="restart"/>
            <w:vAlign w:val="center"/>
          </w:tcPr>
          <w:p w14:paraId="0B5CD1A7">
            <w:pPr>
              <w:pStyle w:val="26"/>
              <w:ind w:firstLine="0" w:firstLineChars="0"/>
              <w:jc w:val="center"/>
              <w:rPr>
                <w:rFonts w:ascii="Times New Roman"/>
                <w:color w:val="000000" w:themeColor="text1"/>
                <w:sz w:val="20"/>
                <w14:textFill>
                  <w14:solidFill>
                    <w14:schemeClr w14:val="tx1"/>
                  </w14:solidFill>
                </w14:textFill>
              </w:rPr>
            </w:pPr>
            <w:r>
              <w:rPr>
                <w:rFonts w:ascii="Times New Roman"/>
                <w:color w:val="000000" w:themeColor="text1"/>
                <w:sz w:val="20"/>
                <w14:textFill>
                  <w14:solidFill>
                    <w14:schemeClr w14:val="tx1"/>
                  </w14:solidFill>
                </w14:textFill>
              </w:rPr>
              <w:t>果</w:t>
            </w:r>
          </w:p>
          <w:p w14:paraId="24B3D69D">
            <w:pPr>
              <w:pStyle w:val="26"/>
              <w:ind w:firstLine="0" w:firstLineChars="0"/>
              <w:jc w:val="center"/>
              <w:rPr>
                <w:rFonts w:ascii="Times New Roman"/>
                <w:color w:val="000000" w:themeColor="text1"/>
                <w:sz w:val="20"/>
                <w14:textFill>
                  <w14:solidFill>
                    <w14:schemeClr w14:val="tx1"/>
                  </w14:solidFill>
                </w14:textFill>
              </w:rPr>
            </w:pPr>
            <w:r>
              <w:rPr>
                <w:rFonts w:ascii="Times New Roman"/>
                <w:color w:val="000000" w:themeColor="text1"/>
                <w:sz w:val="20"/>
                <w14:textFill>
                  <w14:solidFill>
                    <w14:schemeClr w14:val="tx1"/>
                  </w14:solidFill>
                </w14:textFill>
              </w:rPr>
              <w:t>面</w:t>
            </w:r>
          </w:p>
          <w:p w14:paraId="15896D36">
            <w:pPr>
              <w:pStyle w:val="26"/>
              <w:ind w:firstLine="0" w:firstLineChars="0"/>
              <w:jc w:val="center"/>
              <w:rPr>
                <w:rFonts w:ascii="Times New Roman"/>
                <w:color w:val="000000" w:themeColor="text1"/>
                <w:sz w:val="20"/>
                <w14:textFill>
                  <w14:solidFill>
                    <w14:schemeClr w14:val="tx1"/>
                  </w14:solidFill>
                </w14:textFill>
              </w:rPr>
            </w:pPr>
            <w:r>
              <w:rPr>
                <w:rFonts w:ascii="Times New Roman"/>
                <w:color w:val="000000" w:themeColor="text1"/>
                <w:sz w:val="20"/>
                <w14:textFill>
                  <w14:solidFill>
                    <w14:schemeClr w14:val="tx1"/>
                  </w14:solidFill>
                </w14:textFill>
              </w:rPr>
              <w:t>缺</w:t>
            </w:r>
          </w:p>
          <w:p w14:paraId="6052E088">
            <w:pPr>
              <w:pStyle w:val="26"/>
              <w:ind w:firstLine="0" w:firstLineChars="0"/>
              <w:jc w:val="center"/>
              <w:rPr>
                <w:rFonts w:ascii="Times New Roman"/>
                <w:color w:val="000000" w:themeColor="text1"/>
                <w:sz w:val="20"/>
                <w14:textFill>
                  <w14:solidFill>
                    <w14:schemeClr w14:val="tx1"/>
                  </w14:solidFill>
                </w14:textFill>
              </w:rPr>
            </w:pPr>
            <w:r>
              <w:rPr>
                <w:rFonts w:ascii="Times New Roman"/>
                <w:color w:val="000000" w:themeColor="text1"/>
                <w:sz w:val="20"/>
                <w14:textFill>
                  <w14:solidFill>
                    <w14:schemeClr w14:val="tx1"/>
                  </w14:solidFill>
                </w14:textFill>
              </w:rPr>
              <w:t>陷</w:t>
            </w:r>
          </w:p>
        </w:tc>
        <w:tc>
          <w:tcPr>
            <w:tcW w:w="992" w:type="dxa"/>
            <w:vAlign w:val="center"/>
          </w:tcPr>
          <w:p w14:paraId="7791FBA0">
            <w:pPr>
              <w:pStyle w:val="26"/>
              <w:ind w:firstLine="0" w:firstLineChars="0"/>
              <w:jc w:val="center"/>
              <w:rPr>
                <w:rFonts w:ascii="Times New Roman"/>
                <w:color w:val="000000" w:themeColor="text1"/>
                <w:sz w:val="20"/>
                <w14:textFill>
                  <w14:solidFill>
                    <w14:schemeClr w14:val="tx1"/>
                  </w14:solidFill>
                </w14:textFill>
              </w:rPr>
            </w:pPr>
            <w:r>
              <w:rPr>
                <w:rFonts w:ascii="Times New Roman"/>
                <w:color w:val="000000" w:themeColor="text1"/>
                <w:sz w:val="20"/>
                <w14:textFill>
                  <w14:solidFill>
                    <w14:schemeClr w14:val="tx1"/>
                  </w14:solidFill>
                </w14:textFill>
              </w:rPr>
              <w:t>机械伤</w:t>
            </w:r>
          </w:p>
        </w:tc>
        <w:tc>
          <w:tcPr>
            <w:tcW w:w="2410" w:type="dxa"/>
            <w:vAlign w:val="center"/>
          </w:tcPr>
          <w:p w14:paraId="087AD6EE">
            <w:pPr>
              <w:pStyle w:val="26"/>
              <w:ind w:firstLine="0" w:firstLineChars="0"/>
              <w:jc w:val="center"/>
              <w:rPr>
                <w:rFonts w:ascii="Times New Roman"/>
                <w:color w:val="000000" w:themeColor="text1"/>
                <w:sz w:val="20"/>
                <w14:textFill>
                  <w14:solidFill>
                    <w14:schemeClr w14:val="tx1"/>
                  </w14:solidFill>
                </w14:textFill>
              </w:rPr>
            </w:pPr>
            <w:r>
              <w:rPr>
                <w:rFonts w:ascii="Times New Roman"/>
                <w:color w:val="000000" w:themeColor="text1"/>
                <w:sz w:val="20"/>
                <w14:textFill>
                  <w14:solidFill>
                    <w14:schemeClr w14:val="tx1"/>
                  </w14:solidFill>
                </w14:textFill>
              </w:rPr>
              <w:t>无</w:t>
            </w:r>
          </w:p>
        </w:tc>
        <w:tc>
          <w:tcPr>
            <w:tcW w:w="2410" w:type="dxa"/>
            <w:vAlign w:val="center"/>
          </w:tcPr>
          <w:p w14:paraId="327299C5">
            <w:pPr>
              <w:pStyle w:val="26"/>
              <w:ind w:firstLine="0" w:firstLineChars="0"/>
              <w:jc w:val="center"/>
              <w:rPr>
                <w:rFonts w:ascii="Times New Roman"/>
                <w:color w:val="000000" w:themeColor="text1"/>
                <w:sz w:val="20"/>
                <w14:textFill>
                  <w14:solidFill>
                    <w14:schemeClr w14:val="tx1"/>
                  </w14:solidFill>
                </w14:textFill>
              </w:rPr>
            </w:pPr>
            <w:bookmarkStart w:id="3" w:name="OLE_LINK20"/>
            <w:r>
              <w:rPr>
                <w:rFonts w:ascii="Times New Roman"/>
                <w:color w:val="000000" w:themeColor="text1"/>
                <w:sz w:val="20"/>
                <w14:textFill>
                  <w14:solidFill>
                    <w14:schemeClr w14:val="tx1"/>
                  </w14:solidFill>
                </w14:textFill>
              </w:rPr>
              <w:t>无</w:t>
            </w:r>
            <w:bookmarkEnd w:id="3"/>
          </w:p>
        </w:tc>
        <w:tc>
          <w:tcPr>
            <w:tcW w:w="2270" w:type="dxa"/>
            <w:vAlign w:val="center"/>
          </w:tcPr>
          <w:p w14:paraId="0F1F0554">
            <w:pPr>
              <w:pStyle w:val="26"/>
              <w:ind w:firstLine="0" w:firstLineChars="0"/>
              <w:jc w:val="center"/>
              <w:rPr>
                <w:rFonts w:ascii="Times New Roman"/>
                <w:color w:val="000000" w:themeColor="text1"/>
                <w:sz w:val="20"/>
                <w14:textFill>
                  <w14:solidFill>
                    <w14:schemeClr w14:val="tx1"/>
                  </w14:solidFill>
                </w14:textFill>
              </w:rPr>
            </w:pPr>
            <w:r>
              <w:rPr>
                <w:rFonts w:ascii="Times New Roman"/>
                <w:color w:val="000000" w:themeColor="text1"/>
                <w:sz w:val="20"/>
                <w14:textFill>
                  <w14:solidFill>
                    <w14:schemeClr w14:val="tx1"/>
                  </w14:solidFill>
                </w14:textFill>
              </w:rPr>
              <w:t>总面积不超过1cm</w:t>
            </w:r>
            <w:r>
              <w:rPr>
                <w:rFonts w:ascii="Times New Roman"/>
                <w:color w:val="000000" w:themeColor="text1"/>
                <w:sz w:val="20"/>
                <w:vertAlign w:val="superscript"/>
                <w14:textFill>
                  <w14:solidFill>
                    <w14:schemeClr w14:val="tx1"/>
                  </w14:solidFill>
                </w14:textFill>
              </w:rPr>
              <w:t>2</w:t>
            </w:r>
            <w:r>
              <w:rPr>
                <w:rFonts w:ascii="Times New Roman"/>
                <w:color w:val="000000" w:themeColor="text1"/>
                <w:sz w:val="20"/>
                <w14:textFill>
                  <w14:solidFill>
                    <w14:schemeClr w14:val="tx1"/>
                  </w14:solidFill>
                </w14:textFill>
              </w:rPr>
              <w:t>，伤处不应褐变</w:t>
            </w:r>
          </w:p>
        </w:tc>
      </w:tr>
      <w:tr w14:paraId="3909D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6" w:type="dxa"/>
          <w:trHeight w:val="370" w:hRule="atLeast"/>
        </w:trPr>
        <w:tc>
          <w:tcPr>
            <w:tcW w:w="704" w:type="dxa"/>
            <w:vMerge w:val="continue"/>
            <w:vAlign w:val="center"/>
          </w:tcPr>
          <w:p w14:paraId="372861DD">
            <w:pPr>
              <w:pStyle w:val="26"/>
              <w:ind w:firstLine="0" w:firstLineChars="0"/>
              <w:jc w:val="center"/>
              <w:rPr>
                <w:rFonts w:ascii="Times New Roman"/>
                <w:color w:val="000000" w:themeColor="text1"/>
                <w:sz w:val="20"/>
                <w14:textFill>
                  <w14:solidFill>
                    <w14:schemeClr w14:val="tx1"/>
                  </w14:solidFill>
                </w14:textFill>
              </w:rPr>
            </w:pPr>
          </w:p>
        </w:tc>
        <w:tc>
          <w:tcPr>
            <w:tcW w:w="992" w:type="dxa"/>
            <w:vAlign w:val="center"/>
          </w:tcPr>
          <w:p w14:paraId="5D41293F">
            <w:pPr>
              <w:pStyle w:val="26"/>
              <w:ind w:firstLine="0" w:firstLineChars="0"/>
              <w:jc w:val="center"/>
              <w:rPr>
                <w:rFonts w:ascii="Times New Roman"/>
                <w:color w:val="000000" w:themeColor="text1"/>
                <w:sz w:val="20"/>
                <w14:textFill>
                  <w14:solidFill>
                    <w14:schemeClr w14:val="tx1"/>
                  </w14:solidFill>
                </w14:textFill>
              </w:rPr>
            </w:pPr>
            <w:r>
              <w:rPr>
                <w:rFonts w:ascii="Times New Roman"/>
                <w:color w:val="000000" w:themeColor="text1"/>
                <w:sz w:val="20"/>
                <w14:textFill>
                  <w14:solidFill>
                    <w14:schemeClr w14:val="tx1"/>
                  </w14:solidFill>
                </w14:textFill>
              </w:rPr>
              <w:t>日灼</w:t>
            </w:r>
          </w:p>
        </w:tc>
        <w:tc>
          <w:tcPr>
            <w:tcW w:w="2410" w:type="dxa"/>
            <w:vAlign w:val="center"/>
          </w:tcPr>
          <w:p w14:paraId="5951D544">
            <w:pPr>
              <w:pStyle w:val="26"/>
              <w:ind w:firstLine="0" w:firstLineChars="0"/>
              <w:jc w:val="center"/>
              <w:rPr>
                <w:rFonts w:ascii="Times New Roman"/>
                <w:color w:val="000000" w:themeColor="text1"/>
                <w:sz w:val="20"/>
                <w14:textFill>
                  <w14:solidFill>
                    <w14:schemeClr w14:val="tx1"/>
                  </w14:solidFill>
                </w14:textFill>
              </w:rPr>
            </w:pPr>
            <w:bookmarkStart w:id="4" w:name="OLE_LINK21"/>
            <w:r>
              <w:rPr>
                <w:rFonts w:ascii="Times New Roman"/>
                <w:color w:val="000000" w:themeColor="text1"/>
                <w:sz w:val="20"/>
                <w14:textFill>
                  <w14:solidFill>
                    <w14:schemeClr w14:val="tx1"/>
                  </w14:solidFill>
                </w14:textFill>
              </w:rPr>
              <w:t>无</w:t>
            </w:r>
            <w:bookmarkEnd w:id="4"/>
          </w:p>
        </w:tc>
        <w:tc>
          <w:tcPr>
            <w:tcW w:w="2410" w:type="dxa"/>
            <w:vAlign w:val="center"/>
          </w:tcPr>
          <w:p w14:paraId="59E78C91">
            <w:pPr>
              <w:pStyle w:val="26"/>
              <w:ind w:firstLine="0" w:firstLineChars="0"/>
              <w:jc w:val="center"/>
              <w:rPr>
                <w:rFonts w:ascii="Times New Roman"/>
                <w:color w:val="000000" w:themeColor="text1"/>
                <w:sz w:val="20"/>
                <w14:textFill>
                  <w14:solidFill>
                    <w14:schemeClr w14:val="tx1"/>
                  </w14:solidFill>
                </w14:textFill>
              </w:rPr>
            </w:pPr>
            <w:r>
              <w:rPr>
                <w:rFonts w:ascii="Times New Roman"/>
                <w:color w:val="000000" w:themeColor="text1"/>
                <w:sz w:val="20"/>
                <w14:textFill>
                  <w14:solidFill>
                    <w14:schemeClr w14:val="tx1"/>
                  </w14:solidFill>
                </w14:textFill>
              </w:rPr>
              <w:t>无</w:t>
            </w:r>
          </w:p>
        </w:tc>
        <w:tc>
          <w:tcPr>
            <w:tcW w:w="2270" w:type="dxa"/>
            <w:vAlign w:val="center"/>
          </w:tcPr>
          <w:p w14:paraId="26F9C599">
            <w:pPr>
              <w:pStyle w:val="26"/>
              <w:ind w:firstLine="0" w:firstLineChars="0"/>
              <w:jc w:val="center"/>
              <w:rPr>
                <w:rFonts w:ascii="Times New Roman"/>
                <w:color w:val="000000" w:themeColor="text1"/>
                <w:sz w:val="20"/>
                <w14:textFill>
                  <w14:solidFill>
                    <w14:schemeClr w14:val="tx1"/>
                  </w14:solidFill>
                </w14:textFill>
              </w:rPr>
            </w:pPr>
            <w:r>
              <w:rPr>
                <w:rFonts w:ascii="Times New Roman"/>
                <w:color w:val="000000" w:themeColor="text1"/>
                <w:sz w:val="20"/>
                <w14:textFill>
                  <w14:solidFill>
                    <w14:schemeClr w14:val="tx1"/>
                  </w14:solidFill>
                </w14:textFill>
              </w:rPr>
              <w:t>允许浅褐色或褐色，面积不超过1cm</w:t>
            </w:r>
            <w:r>
              <w:rPr>
                <w:rFonts w:ascii="Times New Roman"/>
                <w:color w:val="000000" w:themeColor="text1"/>
                <w:sz w:val="20"/>
                <w:vertAlign w:val="superscript"/>
                <w14:textFill>
                  <w14:solidFill>
                    <w14:schemeClr w14:val="tx1"/>
                  </w14:solidFill>
                </w14:textFill>
              </w:rPr>
              <w:t>2</w:t>
            </w:r>
          </w:p>
        </w:tc>
      </w:tr>
      <w:tr w14:paraId="15539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6" w:type="dxa"/>
          <w:trHeight w:val="370" w:hRule="atLeast"/>
        </w:trPr>
        <w:tc>
          <w:tcPr>
            <w:tcW w:w="704" w:type="dxa"/>
            <w:vMerge w:val="continue"/>
            <w:vAlign w:val="center"/>
          </w:tcPr>
          <w:p w14:paraId="15C009C5">
            <w:pPr>
              <w:pStyle w:val="26"/>
              <w:ind w:firstLine="0" w:firstLineChars="0"/>
              <w:jc w:val="center"/>
              <w:rPr>
                <w:rFonts w:ascii="Times New Roman"/>
                <w:color w:val="000000" w:themeColor="text1"/>
                <w:sz w:val="20"/>
                <w14:textFill>
                  <w14:solidFill>
                    <w14:schemeClr w14:val="tx1"/>
                  </w14:solidFill>
                </w14:textFill>
              </w:rPr>
            </w:pPr>
          </w:p>
        </w:tc>
        <w:tc>
          <w:tcPr>
            <w:tcW w:w="992" w:type="dxa"/>
            <w:vAlign w:val="center"/>
          </w:tcPr>
          <w:p w14:paraId="03438BFC">
            <w:pPr>
              <w:pStyle w:val="26"/>
              <w:ind w:firstLine="0" w:firstLineChars="0"/>
              <w:jc w:val="center"/>
              <w:rPr>
                <w:rFonts w:ascii="Times New Roman"/>
                <w:color w:val="000000" w:themeColor="text1"/>
                <w:sz w:val="20"/>
                <w14:textFill>
                  <w14:solidFill>
                    <w14:schemeClr w14:val="tx1"/>
                  </w14:solidFill>
                </w14:textFill>
              </w:rPr>
            </w:pPr>
            <w:r>
              <w:rPr>
                <w:rFonts w:ascii="Times New Roman"/>
                <w:color w:val="000000" w:themeColor="text1"/>
                <w:sz w:val="20"/>
                <w14:textFill>
                  <w14:solidFill>
                    <w14:schemeClr w14:val="tx1"/>
                  </w14:solidFill>
                </w14:textFill>
              </w:rPr>
              <w:t>水锈和垢斑病</w:t>
            </w:r>
          </w:p>
        </w:tc>
        <w:tc>
          <w:tcPr>
            <w:tcW w:w="2410" w:type="dxa"/>
            <w:vAlign w:val="center"/>
          </w:tcPr>
          <w:p w14:paraId="515DE59D">
            <w:pPr>
              <w:pStyle w:val="26"/>
              <w:ind w:firstLine="0" w:firstLineChars="0"/>
              <w:jc w:val="center"/>
              <w:rPr>
                <w:rFonts w:ascii="Times New Roman"/>
                <w:color w:val="000000" w:themeColor="text1"/>
                <w:sz w:val="20"/>
                <w14:textFill>
                  <w14:solidFill>
                    <w14:schemeClr w14:val="tx1"/>
                  </w14:solidFill>
                </w14:textFill>
              </w:rPr>
            </w:pPr>
            <w:r>
              <w:rPr>
                <w:rFonts w:ascii="Times New Roman"/>
                <w:color w:val="000000" w:themeColor="text1"/>
                <w:sz w:val="20"/>
                <w14:textFill>
                  <w14:solidFill>
                    <w14:schemeClr w14:val="tx1"/>
                  </w14:solidFill>
                </w14:textFill>
              </w:rPr>
              <w:t>无</w:t>
            </w:r>
          </w:p>
        </w:tc>
        <w:tc>
          <w:tcPr>
            <w:tcW w:w="2410" w:type="dxa"/>
            <w:vAlign w:val="center"/>
          </w:tcPr>
          <w:p w14:paraId="1A3E922E">
            <w:pPr>
              <w:pStyle w:val="10"/>
              <w:rPr>
                <w:rFonts w:ascii="Times New Roman" w:hAnsi="Times New Roman" w:cs="Times New Roman"/>
                <w:sz w:val="20"/>
                <w:szCs w:val="20"/>
              </w:rPr>
            </w:pPr>
            <w:r>
              <w:rPr>
                <w:rFonts w:ascii="Times New Roman" w:hAnsi="Times New Roman" w:cs="Times New Roman"/>
                <w:sz w:val="20"/>
                <w:szCs w:val="20"/>
              </w:rPr>
              <w:t>轻微薄层，单处面积不超过0.5cm</w:t>
            </w:r>
            <w:bookmarkStart w:id="5" w:name="OLE_LINK27"/>
            <w:r>
              <w:rPr>
                <w:rFonts w:ascii="Times New Roman" w:hAnsi="Times New Roman" w:cs="Times New Roman"/>
                <w:sz w:val="20"/>
                <w:szCs w:val="20"/>
                <w:vertAlign w:val="superscript"/>
              </w:rPr>
              <w:t>2</w:t>
            </w:r>
            <w:bookmarkEnd w:id="5"/>
          </w:p>
        </w:tc>
        <w:tc>
          <w:tcPr>
            <w:tcW w:w="2270" w:type="dxa"/>
            <w:vAlign w:val="center"/>
          </w:tcPr>
          <w:p w14:paraId="6D7AA688">
            <w:pPr>
              <w:pStyle w:val="10"/>
              <w:rPr>
                <w:rFonts w:ascii="Times New Roman" w:hAnsi="Times New Roman" w:cs="Times New Roman"/>
                <w:sz w:val="20"/>
                <w:szCs w:val="20"/>
              </w:rPr>
            </w:pPr>
            <w:r>
              <w:rPr>
                <w:rFonts w:ascii="Times New Roman" w:hAnsi="Times New Roman" w:cs="Times New Roman"/>
                <w:sz w:val="20"/>
                <w:szCs w:val="20"/>
              </w:rPr>
              <w:t>轻微薄层，单处面积不超过1cm</w:t>
            </w:r>
            <w:r>
              <w:rPr>
                <w:rFonts w:ascii="Times New Roman" w:hAnsi="Times New Roman" w:cs="Times New Roman"/>
                <w:sz w:val="20"/>
                <w:szCs w:val="20"/>
                <w:vertAlign w:val="superscript"/>
              </w:rPr>
              <w:t>2</w:t>
            </w:r>
          </w:p>
        </w:tc>
      </w:tr>
      <w:tr w14:paraId="16772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6" w:type="dxa"/>
          <w:trHeight w:val="370" w:hRule="atLeast"/>
        </w:trPr>
        <w:tc>
          <w:tcPr>
            <w:tcW w:w="704" w:type="dxa"/>
            <w:vMerge w:val="continue"/>
            <w:vAlign w:val="center"/>
          </w:tcPr>
          <w:p w14:paraId="075B2FF3">
            <w:pPr>
              <w:pStyle w:val="26"/>
              <w:ind w:firstLine="0" w:firstLineChars="0"/>
              <w:jc w:val="center"/>
              <w:rPr>
                <w:rFonts w:ascii="Times New Roman"/>
                <w:color w:val="000000" w:themeColor="text1"/>
                <w:sz w:val="20"/>
                <w14:textFill>
                  <w14:solidFill>
                    <w14:schemeClr w14:val="tx1"/>
                  </w14:solidFill>
                </w14:textFill>
              </w:rPr>
            </w:pPr>
          </w:p>
        </w:tc>
        <w:tc>
          <w:tcPr>
            <w:tcW w:w="992" w:type="dxa"/>
            <w:vAlign w:val="center"/>
          </w:tcPr>
          <w:p w14:paraId="2CA15ED7">
            <w:pPr>
              <w:pStyle w:val="26"/>
              <w:ind w:firstLine="0" w:firstLineChars="0"/>
              <w:jc w:val="center"/>
              <w:rPr>
                <w:rFonts w:ascii="Times New Roman"/>
                <w:color w:val="000000" w:themeColor="text1"/>
                <w:sz w:val="20"/>
                <w14:textFill>
                  <w14:solidFill>
                    <w14:schemeClr w14:val="tx1"/>
                  </w14:solidFill>
                </w14:textFill>
              </w:rPr>
            </w:pPr>
            <w:r>
              <w:rPr>
                <w:rFonts w:ascii="Times New Roman"/>
                <w:color w:val="000000" w:themeColor="text1"/>
                <w:sz w:val="20"/>
                <w14:textFill>
                  <w14:solidFill>
                    <w14:schemeClr w14:val="tx1"/>
                  </w14:solidFill>
                </w14:textFill>
              </w:rPr>
              <w:t>雹伤</w:t>
            </w:r>
          </w:p>
        </w:tc>
        <w:tc>
          <w:tcPr>
            <w:tcW w:w="2410" w:type="dxa"/>
            <w:vAlign w:val="center"/>
          </w:tcPr>
          <w:p w14:paraId="285801B6">
            <w:pPr>
              <w:pStyle w:val="26"/>
              <w:ind w:firstLine="0" w:firstLineChars="0"/>
              <w:jc w:val="center"/>
              <w:rPr>
                <w:rFonts w:ascii="Times New Roman"/>
                <w:color w:val="000000" w:themeColor="text1"/>
                <w:sz w:val="20"/>
                <w14:textFill>
                  <w14:solidFill>
                    <w14:schemeClr w14:val="tx1"/>
                  </w14:solidFill>
                </w14:textFill>
              </w:rPr>
            </w:pPr>
            <w:r>
              <w:rPr>
                <w:rFonts w:ascii="Times New Roman"/>
                <w:color w:val="000000" w:themeColor="text1"/>
                <w:sz w:val="20"/>
                <w14:textFill>
                  <w14:solidFill>
                    <w14:schemeClr w14:val="tx1"/>
                  </w14:solidFill>
                </w14:textFill>
              </w:rPr>
              <w:t>无</w:t>
            </w:r>
          </w:p>
        </w:tc>
        <w:tc>
          <w:tcPr>
            <w:tcW w:w="2410" w:type="dxa"/>
            <w:vAlign w:val="center"/>
          </w:tcPr>
          <w:p w14:paraId="686093E5">
            <w:pPr>
              <w:pStyle w:val="26"/>
              <w:ind w:firstLine="0" w:firstLineChars="0"/>
              <w:jc w:val="center"/>
              <w:rPr>
                <w:rFonts w:ascii="Times New Roman"/>
                <w:color w:val="000000" w:themeColor="text1"/>
                <w:sz w:val="20"/>
                <w14:textFill>
                  <w14:solidFill>
                    <w14:schemeClr w14:val="tx1"/>
                  </w14:solidFill>
                </w14:textFill>
              </w:rPr>
            </w:pPr>
            <w:r>
              <w:rPr>
                <w:rFonts w:ascii="Times New Roman"/>
                <w:color w:val="000000" w:themeColor="text1"/>
                <w:sz w:val="20"/>
                <w14:textFill>
                  <w14:solidFill>
                    <w14:schemeClr w14:val="tx1"/>
                  </w14:solidFill>
                </w14:textFill>
              </w:rPr>
              <w:t>无</w:t>
            </w:r>
          </w:p>
        </w:tc>
        <w:tc>
          <w:tcPr>
            <w:tcW w:w="2270" w:type="dxa"/>
            <w:vAlign w:val="center"/>
          </w:tcPr>
          <w:p w14:paraId="19358992">
            <w:pPr>
              <w:pStyle w:val="26"/>
              <w:ind w:firstLine="0" w:firstLineChars="0"/>
              <w:jc w:val="center"/>
              <w:rPr>
                <w:rFonts w:ascii="Times New Roman"/>
                <w:color w:val="000000" w:themeColor="text1"/>
                <w:sz w:val="20"/>
                <w14:textFill>
                  <w14:solidFill>
                    <w14:schemeClr w14:val="tx1"/>
                  </w14:solidFill>
                </w14:textFill>
              </w:rPr>
            </w:pPr>
            <w:r>
              <w:rPr>
                <w:rFonts w:ascii="Times New Roman"/>
                <w:color w:val="000000" w:themeColor="text1"/>
                <w:sz w:val="20"/>
                <w14:textFill>
                  <w14:solidFill>
                    <w14:schemeClr w14:val="tx1"/>
                  </w14:solidFill>
                </w14:textFill>
              </w:rPr>
              <w:t>允许轻微雹伤，总面积&lt;0.5cm</w:t>
            </w:r>
            <w:r>
              <w:rPr>
                <w:rFonts w:ascii="Times New Roman"/>
                <w:color w:val="000000" w:themeColor="text1"/>
                <w:sz w:val="20"/>
                <w:vertAlign w:val="superscript"/>
                <w14:textFill>
                  <w14:solidFill>
                    <w14:schemeClr w14:val="tx1"/>
                  </w14:solidFill>
                </w14:textFill>
              </w:rPr>
              <w:t>2</w:t>
            </w:r>
          </w:p>
        </w:tc>
      </w:tr>
      <w:tr w14:paraId="770B3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6" w:type="dxa"/>
          <w:trHeight w:val="370" w:hRule="atLeast"/>
        </w:trPr>
        <w:tc>
          <w:tcPr>
            <w:tcW w:w="704" w:type="dxa"/>
            <w:vMerge w:val="continue"/>
            <w:vAlign w:val="center"/>
          </w:tcPr>
          <w:p w14:paraId="2B4F0C7E">
            <w:pPr>
              <w:pStyle w:val="26"/>
              <w:ind w:firstLine="0" w:firstLineChars="0"/>
              <w:jc w:val="center"/>
              <w:rPr>
                <w:rFonts w:ascii="Times New Roman"/>
                <w:color w:val="000000" w:themeColor="text1"/>
                <w:sz w:val="20"/>
                <w14:textFill>
                  <w14:solidFill>
                    <w14:schemeClr w14:val="tx1"/>
                  </w14:solidFill>
                </w14:textFill>
              </w:rPr>
            </w:pPr>
          </w:p>
        </w:tc>
        <w:tc>
          <w:tcPr>
            <w:tcW w:w="992" w:type="dxa"/>
            <w:vAlign w:val="center"/>
          </w:tcPr>
          <w:p w14:paraId="051043A3">
            <w:pPr>
              <w:pStyle w:val="26"/>
              <w:ind w:firstLine="0" w:firstLineChars="0"/>
              <w:jc w:val="center"/>
              <w:rPr>
                <w:rFonts w:ascii="Times New Roman"/>
                <w:color w:val="000000" w:themeColor="text1"/>
                <w:sz w:val="20"/>
                <w14:textFill>
                  <w14:solidFill>
                    <w14:schemeClr w14:val="tx1"/>
                  </w14:solidFill>
                </w14:textFill>
              </w:rPr>
            </w:pPr>
            <w:r>
              <w:rPr>
                <w:rFonts w:ascii="Times New Roman"/>
                <w:color w:val="000000" w:themeColor="text1"/>
                <w:sz w:val="20"/>
                <w14:textFill>
                  <w14:solidFill>
                    <w14:schemeClr w14:val="tx1"/>
                  </w14:solidFill>
                </w14:textFill>
              </w:rPr>
              <w:t>虫伤</w:t>
            </w:r>
          </w:p>
        </w:tc>
        <w:tc>
          <w:tcPr>
            <w:tcW w:w="2410" w:type="dxa"/>
            <w:vAlign w:val="center"/>
          </w:tcPr>
          <w:p w14:paraId="7E409F54">
            <w:pPr>
              <w:pStyle w:val="26"/>
              <w:ind w:firstLine="0" w:firstLineChars="0"/>
              <w:jc w:val="center"/>
              <w:rPr>
                <w:rFonts w:ascii="Times New Roman"/>
                <w:color w:val="000000" w:themeColor="text1"/>
                <w:sz w:val="20"/>
                <w14:textFill>
                  <w14:solidFill>
                    <w14:schemeClr w14:val="tx1"/>
                  </w14:solidFill>
                </w14:textFill>
              </w:rPr>
            </w:pPr>
            <w:r>
              <w:rPr>
                <w:rFonts w:ascii="Times New Roman"/>
                <w:color w:val="000000" w:themeColor="text1"/>
                <w:sz w:val="20"/>
                <w14:textFill>
                  <w14:solidFill>
                    <w14:schemeClr w14:val="tx1"/>
                  </w14:solidFill>
                </w14:textFill>
              </w:rPr>
              <w:t>无</w:t>
            </w:r>
          </w:p>
        </w:tc>
        <w:tc>
          <w:tcPr>
            <w:tcW w:w="2410" w:type="dxa"/>
            <w:vAlign w:val="center"/>
          </w:tcPr>
          <w:p w14:paraId="7D0C6B3E">
            <w:pPr>
              <w:pStyle w:val="26"/>
              <w:ind w:firstLine="0" w:firstLineChars="0"/>
              <w:jc w:val="center"/>
              <w:rPr>
                <w:rFonts w:ascii="Times New Roman"/>
                <w:color w:val="000000" w:themeColor="text1"/>
                <w:sz w:val="20"/>
                <w14:textFill>
                  <w14:solidFill>
                    <w14:schemeClr w14:val="tx1"/>
                  </w14:solidFill>
                </w14:textFill>
              </w:rPr>
            </w:pPr>
            <w:r>
              <w:rPr>
                <w:rFonts w:ascii="Times New Roman"/>
                <w:color w:val="000000" w:themeColor="text1"/>
                <w:sz w:val="20"/>
                <w14:textFill>
                  <w14:solidFill>
                    <w14:schemeClr w14:val="tx1"/>
                  </w14:solidFill>
                </w14:textFill>
              </w:rPr>
              <w:t>无</w:t>
            </w:r>
          </w:p>
        </w:tc>
        <w:tc>
          <w:tcPr>
            <w:tcW w:w="2270" w:type="dxa"/>
            <w:vAlign w:val="center"/>
          </w:tcPr>
          <w:p w14:paraId="30735312">
            <w:pPr>
              <w:pStyle w:val="26"/>
              <w:ind w:firstLine="0" w:firstLineChars="0"/>
              <w:jc w:val="center"/>
              <w:rPr>
                <w:rFonts w:ascii="Times New Roman"/>
                <w:color w:val="000000" w:themeColor="text1"/>
                <w:sz w:val="20"/>
                <w14:textFill>
                  <w14:solidFill>
                    <w14:schemeClr w14:val="tx1"/>
                  </w14:solidFill>
                </w14:textFill>
              </w:rPr>
            </w:pPr>
            <w:r>
              <w:rPr>
                <w:rFonts w:ascii="Times New Roman"/>
                <w:color w:val="000000" w:themeColor="text1"/>
                <w:sz w:val="20"/>
                <w14:textFill>
                  <w14:solidFill>
                    <w14:schemeClr w14:val="tx1"/>
                  </w14:solidFill>
                </w14:textFill>
              </w:rPr>
              <w:t>无</w:t>
            </w:r>
          </w:p>
        </w:tc>
      </w:tr>
      <w:tr w14:paraId="691D9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6" w:type="dxa"/>
          <w:trHeight w:val="370" w:hRule="atLeast"/>
        </w:trPr>
        <w:tc>
          <w:tcPr>
            <w:tcW w:w="704" w:type="dxa"/>
            <w:vMerge w:val="continue"/>
            <w:vAlign w:val="center"/>
          </w:tcPr>
          <w:p w14:paraId="27897FCC">
            <w:pPr>
              <w:pStyle w:val="26"/>
              <w:ind w:firstLine="0" w:firstLineChars="0"/>
              <w:jc w:val="center"/>
              <w:rPr>
                <w:rFonts w:ascii="Times New Roman"/>
                <w:color w:val="000000" w:themeColor="text1"/>
                <w:sz w:val="20"/>
                <w14:textFill>
                  <w14:solidFill>
                    <w14:schemeClr w14:val="tx1"/>
                  </w14:solidFill>
                </w14:textFill>
              </w:rPr>
            </w:pPr>
          </w:p>
        </w:tc>
        <w:tc>
          <w:tcPr>
            <w:tcW w:w="992" w:type="dxa"/>
            <w:vAlign w:val="center"/>
          </w:tcPr>
          <w:p w14:paraId="1E4C1D87">
            <w:pPr>
              <w:pStyle w:val="26"/>
              <w:ind w:firstLine="0" w:firstLineChars="0"/>
              <w:jc w:val="center"/>
              <w:rPr>
                <w:rFonts w:ascii="Times New Roman"/>
                <w:color w:val="000000" w:themeColor="text1"/>
                <w:sz w:val="20"/>
                <w14:textFill>
                  <w14:solidFill>
                    <w14:schemeClr w14:val="tx1"/>
                  </w14:solidFill>
                </w14:textFill>
              </w:rPr>
            </w:pPr>
            <w:r>
              <w:rPr>
                <w:rFonts w:ascii="Times New Roman"/>
                <w:color w:val="000000" w:themeColor="text1"/>
                <w:sz w:val="20"/>
                <w14:textFill>
                  <w14:solidFill>
                    <w14:schemeClr w14:val="tx1"/>
                  </w14:solidFill>
                </w14:textFill>
              </w:rPr>
              <w:t>裂果</w:t>
            </w:r>
          </w:p>
        </w:tc>
        <w:tc>
          <w:tcPr>
            <w:tcW w:w="2410" w:type="dxa"/>
            <w:vAlign w:val="center"/>
          </w:tcPr>
          <w:p w14:paraId="6A732E9F">
            <w:pPr>
              <w:pStyle w:val="26"/>
              <w:ind w:firstLine="0" w:firstLineChars="0"/>
              <w:jc w:val="center"/>
              <w:rPr>
                <w:rFonts w:ascii="Times New Roman"/>
                <w:color w:val="000000" w:themeColor="text1"/>
                <w:sz w:val="20"/>
                <w14:textFill>
                  <w14:solidFill>
                    <w14:schemeClr w14:val="tx1"/>
                  </w14:solidFill>
                </w14:textFill>
              </w:rPr>
            </w:pPr>
            <w:bookmarkStart w:id="6" w:name="OLE_LINK22"/>
            <w:r>
              <w:rPr>
                <w:rFonts w:ascii="Times New Roman"/>
                <w:color w:val="000000" w:themeColor="text1"/>
                <w:sz w:val="20"/>
                <w14:textFill>
                  <w14:solidFill>
                    <w14:schemeClr w14:val="tx1"/>
                  </w14:solidFill>
                </w14:textFill>
              </w:rPr>
              <w:t>无</w:t>
            </w:r>
            <w:bookmarkEnd w:id="6"/>
          </w:p>
        </w:tc>
        <w:tc>
          <w:tcPr>
            <w:tcW w:w="2410" w:type="dxa"/>
            <w:vAlign w:val="center"/>
          </w:tcPr>
          <w:p w14:paraId="0D628FB7">
            <w:pPr>
              <w:pStyle w:val="26"/>
              <w:ind w:firstLine="0" w:firstLineChars="0"/>
              <w:jc w:val="center"/>
              <w:rPr>
                <w:rFonts w:ascii="Times New Roman"/>
                <w:color w:val="000000" w:themeColor="text1"/>
                <w:sz w:val="20"/>
                <w14:textFill>
                  <w14:solidFill>
                    <w14:schemeClr w14:val="tx1"/>
                  </w14:solidFill>
                </w14:textFill>
              </w:rPr>
            </w:pPr>
            <w:r>
              <w:rPr>
                <w:rFonts w:ascii="Times New Roman"/>
                <w:color w:val="000000" w:themeColor="text1"/>
                <w:sz w:val="20"/>
                <w14:textFill>
                  <w14:solidFill>
                    <w14:schemeClr w14:val="tx1"/>
                  </w14:solidFill>
                </w14:textFill>
              </w:rPr>
              <w:t>无</w:t>
            </w:r>
          </w:p>
        </w:tc>
        <w:tc>
          <w:tcPr>
            <w:tcW w:w="2270" w:type="dxa"/>
            <w:vAlign w:val="center"/>
          </w:tcPr>
          <w:p w14:paraId="39683C84">
            <w:pPr>
              <w:pStyle w:val="26"/>
              <w:ind w:right="-166" w:rightChars="-52" w:firstLine="0" w:firstLineChars="0"/>
              <w:jc w:val="center"/>
              <w:rPr>
                <w:rFonts w:ascii="Times New Roman"/>
                <w:color w:val="000000" w:themeColor="text1"/>
                <w:sz w:val="20"/>
                <w14:textFill>
                  <w14:solidFill>
                    <w14:schemeClr w14:val="tx1"/>
                  </w14:solidFill>
                </w14:textFill>
              </w:rPr>
            </w:pPr>
            <w:r>
              <w:rPr>
                <w:rFonts w:ascii="Times New Roman"/>
                <w:color w:val="000000" w:themeColor="text1"/>
                <w:sz w:val="20"/>
                <w14:textFill>
                  <w14:solidFill>
                    <w14:schemeClr w14:val="tx1"/>
                  </w14:solidFill>
                </w14:textFill>
              </w:rPr>
              <w:t>无</w:t>
            </w:r>
          </w:p>
        </w:tc>
      </w:tr>
      <w:tr w14:paraId="2CCB4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6" w:type="dxa"/>
          <w:trHeight w:val="370" w:hRule="atLeast"/>
        </w:trPr>
        <w:tc>
          <w:tcPr>
            <w:tcW w:w="704" w:type="dxa"/>
            <w:vMerge w:val="continue"/>
            <w:vAlign w:val="center"/>
          </w:tcPr>
          <w:p w14:paraId="79362D1C">
            <w:pPr>
              <w:pStyle w:val="26"/>
              <w:ind w:firstLine="0" w:firstLineChars="0"/>
              <w:jc w:val="center"/>
              <w:rPr>
                <w:rFonts w:ascii="Times New Roman"/>
                <w:color w:val="000000" w:themeColor="text1"/>
                <w:sz w:val="20"/>
                <w14:textFill>
                  <w14:solidFill>
                    <w14:schemeClr w14:val="tx1"/>
                  </w14:solidFill>
                </w14:textFill>
              </w:rPr>
            </w:pPr>
          </w:p>
        </w:tc>
        <w:tc>
          <w:tcPr>
            <w:tcW w:w="992" w:type="dxa"/>
            <w:vAlign w:val="center"/>
          </w:tcPr>
          <w:p w14:paraId="2E6D7F9D">
            <w:pPr>
              <w:pStyle w:val="26"/>
              <w:ind w:firstLine="0" w:firstLineChars="0"/>
              <w:jc w:val="center"/>
              <w:rPr>
                <w:rFonts w:ascii="Times New Roman"/>
                <w:color w:val="000000" w:themeColor="text1"/>
                <w:sz w:val="20"/>
                <w14:textFill>
                  <w14:solidFill>
                    <w14:schemeClr w14:val="tx1"/>
                  </w14:solidFill>
                </w14:textFill>
              </w:rPr>
            </w:pPr>
            <w:r>
              <w:rPr>
                <w:rFonts w:ascii="Times New Roman"/>
                <w:color w:val="000000" w:themeColor="text1"/>
                <w:sz w:val="20"/>
                <w14:textFill>
                  <w14:solidFill>
                    <w14:schemeClr w14:val="tx1"/>
                  </w14:solidFill>
                </w14:textFill>
              </w:rPr>
              <w:t>其他小疵点</w:t>
            </w:r>
          </w:p>
        </w:tc>
        <w:tc>
          <w:tcPr>
            <w:tcW w:w="2410" w:type="dxa"/>
            <w:vAlign w:val="center"/>
          </w:tcPr>
          <w:p w14:paraId="39C56800">
            <w:pPr>
              <w:pStyle w:val="26"/>
              <w:ind w:firstLine="0" w:firstLineChars="0"/>
              <w:jc w:val="center"/>
              <w:rPr>
                <w:rFonts w:ascii="Times New Roman"/>
                <w:color w:val="000000" w:themeColor="text1"/>
                <w:sz w:val="20"/>
                <w14:textFill>
                  <w14:solidFill>
                    <w14:schemeClr w14:val="tx1"/>
                  </w14:solidFill>
                </w14:textFill>
              </w:rPr>
            </w:pPr>
            <w:r>
              <w:rPr>
                <w:rFonts w:ascii="Times New Roman"/>
                <w:color w:val="000000" w:themeColor="text1"/>
                <w:sz w:val="20"/>
                <w14:textFill>
                  <w14:solidFill>
                    <w14:schemeClr w14:val="tx1"/>
                  </w14:solidFill>
                </w14:textFill>
              </w:rPr>
              <w:t>无</w:t>
            </w:r>
          </w:p>
        </w:tc>
        <w:tc>
          <w:tcPr>
            <w:tcW w:w="2410" w:type="dxa"/>
            <w:vAlign w:val="center"/>
          </w:tcPr>
          <w:p w14:paraId="6533AA27">
            <w:pPr>
              <w:pStyle w:val="26"/>
              <w:ind w:firstLine="0" w:firstLineChars="0"/>
              <w:jc w:val="center"/>
              <w:rPr>
                <w:rFonts w:ascii="Times New Roman"/>
                <w:color w:val="000000" w:themeColor="text1"/>
                <w:sz w:val="20"/>
                <w14:textFill>
                  <w14:solidFill>
                    <w14:schemeClr w14:val="tx1"/>
                  </w14:solidFill>
                </w14:textFill>
              </w:rPr>
            </w:pPr>
            <w:bookmarkStart w:id="7" w:name="OLE_LINK23"/>
            <w:r>
              <w:rPr>
                <w:rFonts w:ascii="Times New Roman"/>
                <w:color w:val="000000" w:themeColor="text1"/>
                <w:sz w:val="20"/>
                <w14:textFill>
                  <w14:solidFill>
                    <w14:schemeClr w14:val="tx1"/>
                  </w14:solidFill>
                </w14:textFill>
              </w:rPr>
              <w:t>不允许有5个</w:t>
            </w:r>
            <w:bookmarkEnd w:id="7"/>
          </w:p>
        </w:tc>
        <w:tc>
          <w:tcPr>
            <w:tcW w:w="2270" w:type="dxa"/>
            <w:vAlign w:val="center"/>
          </w:tcPr>
          <w:p w14:paraId="0A13986D">
            <w:pPr>
              <w:pStyle w:val="26"/>
              <w:ind w:right="-166" w:rightChars="-52" w:firstLine="0" w:firstLineChars="0"/>
              <w:jc w:val="center"/>
              <w:rPr>
                <w:rFonts w:ascii="Times New Roman"/>
                <w:color w:val="000000" w:themeColor="text1"/>
                <w:sz w:val="20"/>
                <w14:textFill>
                  <w14:solidFill>
                    <w14:schemeClr w14:val="tx1"/>
                  </w14:solidFill>
                </w14:textFill>
              </w:rPr>
            </w:pPr>
            <w:r>
              <w:rPr>
                <w:rFonts w:ascii="Times New Roman"/>
                <w:color w:val="000000" w:themeColor="text1"/>
                <w:sz w:val="20"/>
                <w14:textFill>
                  <w14:solidFill>
                    <w14:schemeClr w14:val="tx1"/>
                  </w14:solidFill>
                </w14:textFill>
              </w:rPr>
              <w:t>不允许有</w:t>
            </w:r>
            <w:bookmarkStart w:id="8" w:name="OLE_LINK24"/>
            <w:r>
              <w:rPr>
                <w:rFonts w:ascii="Times New Roman"/>
                <w:color w:val="000000" w:themeColor="text1"/>
                <w:sz w:val="20"/>
                <w14:textFill>
                  <w14:solidFill>
                    <w14:schemeClr w14:val="tx1"/>
                  </w14:solidFill>
                </w14:textFill>
              </w:rPr>
              <w:t>10</w:t>
            </w:r>
            <w:bookmarkEnd w:id="8"/>
            <w:r>
              <w:rPr>
                <w:rFonts w:ascii="Times New Roman"/>
                <w:color w:val="000000" w:themeColor="text1"/>
                <w:sz w:val="20"/>
                <w14:textFill>
                  <w14:solidFill>
                    <w14:schemeClr w14:val="tx1"/>
                  </w14:solidFill>
                </w14:textFill>
              </w:rPr>
              <w:t>个</w:t>
            </w:r>
          </w:p>
        </w:tc>
      </w:tr>
      <w:tr w14:paraId="56408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8802" w:type="dxa"/>
            <w:gridSpan w:val="6"/>
            <w:vAlign w:val="center"/>
          </w:tcPr>
          <w:p w14:paraId="5C9A5378">
            <w:pPr>
              <w:pStyle w:val="26"/>
              <w:ind w:firstLine="0" w:firstLineChars="0"/>
              <w:rPr>
                <w:rFonts w:ascii="Times New Roman"/>
                <w:color w:val="000000" w:themeColor="text1"/>
                <w:sz w:val="20"/>
                <w14:textFill>
                  <w14:solidFill>
                    <w14:schemeClr w14:val="tx1"/>
                  </w14:solidFill>
                </w14:textFill>
              </w:rPr>
            </w:pPr>
            <w:r>
              <w:rPr>
                <w:rFonts w:ascii="Times New Roman"/>
                <w:color w:val="000000" w:themeColor="text1"/>
                <w:sz w:val="20"/>
                <w14:textFill>
                  <w14:solidFill>
                    <w14:schemeClr w14:val="tx1"/>
                  </w14:solidFill>
                </w14:textFill>
              </w:rPr>
              <w:t>注：其他果面缺陷符合GB10651、DB3710。</w:t>
            </w:r>
          </w:p>
        </w:tc>
      </w:tr>
    </w:tbl>
    <w:p w14:paraId="03516CBE">
      <w:pPr>
        <w:widowControl/>
        <w:spacing w:line="300" w:lineRule="auto"/>
        <w:ind w:firstLine="420" w:firstLineChars="200"/>
        <w:rPr>
          <w:rFonts w:hint="default" w:ascii="Times New Roman" w:hAnsi="Times New Roman" w:cs="Times New Roman"/>
          <w:color w:val="auto"/>
          <w:kern w:val="0"/>
          <w:sz w:val="21"/>
          <w:szCs w:val="21"/>
          <w:highlight w:val="none"/>
          <w:lang w:bidi="ar"/>
        </w:rPr>
      </w:pPr>
      <w:r>
        <w:rPr>
          <w:rFonts w:hint="default" w:ascii="Times New Roman" w:hAnsi="Times New Roman" w:cs="Times New Roman"/>
          <w:color w:val="auto"/>
          <w:kern w:val="0"/>
          <w:sz w:val="21"/>
          <w:szCs w:val="21"/>
          <w:highlight w:val="none"/>
          <w:lang w:bidi="ar"/>
        </w:rPr>
        <w:t>理化指标：结合表2</w:t>
      </w:r>
      <w:r>
        <w:rPr>
          <w:rFonts w:hint="eastAsia" w:ascii="Times New Roman" w:hAnsi="Times New Roman" w:cs="Times New Roman"/>
          <w:color w:val="auto"/>
          <w:kern w:val="0"/>
          <w:sz w:val="21"/>
          <w:szCs w:val="21"/>
          <w:highlight w:val="none"/>
          <w:lang w:eastAsia="zh-CN" w:bidi="ar"/>
        </w:rPr>
        <w:t>、</w:t>
      </w:r>
      <w:r>
        <w:rPr>
          <w:rFonts w:hint="eastAsia" w:ascii="Times New Roman" w:hAnsi="Times New Roman" w:cs="Times New Roman"/>
          <w:color w:val="auto"/>
          <w:kern w:val="0"/>
          <w:sz w:val="21"/>
          <w:szCs w:val="21"/>
          <w:highlight w:val="none"/>
          <w:lang w:val="en-US" w:eastAsia="zh-CN" w:bidi="ar"/>
        </w:rPr>
        <w:t>表3</w:t>
      </w:r>
      <w:r>
        <w:rPr>
          <w:rFonts w:hint="default" w:ascii="Times New Roman" w:hAnsi="Times New Roman" w:cs="Times New Roman"/>
          <w:color w:val="auto"/>
          <w:kern w:val="0"/>
          <w:sz w:val="21"/>
          <w:szCs w:val="21"/>
          <w:highlight w:val="none"/>
          <w:lang w:bidi="ar"/>
        </w:rPr>
        <w:t>的数据和全国不同产区的调研结果，建议精品果和一等果的可溶性固形物≥1</w:t>
      </w:r>
      <w:r>
        <w:rPr>
          <w:rFonts w:hint="eastAsia" w:ascii="Times New Roman" w:hAnsi="Times New Roman" w:cs="Times New Roman"/>
          <w:color w:val="auto"/>
          <w:kern w:val="0"/>
          <w:sz w:val="21"/>
          <w:szCs w:val="21"/>
          <w:highlight w:val="none"/>
          <w:lang w:val="en-US" w:eastAsia="zh-CN" w:bidi="ar"/>
        </w:rPr>
        <w:t>4</w:t>
      </w:r>
      <w:r>
        <w:rPr>
          <w:rFonts w:hint="default" w:ascii="Times New Roman" w:hAnsi="Times New Roman" w:cs="Times New Roman"/>
          <w:color w:val="auto"/>
          <w:kern w:val="0"/>
          <w:sz w:val="21"/>
          <w:szCs w:val="21"/>
          <w:highlight w:val="none"/>
          <w:lang w:bidi="ar"/>
        </w:rPr>
        <w:t>%，二等果≥1</w:t>
      </w:r>
      <w:r>
        <w:rPr>
          <w:rFonts w:hint="eastAsia" w:ascii="Times New Roman" w:hAnsi="Times New Roman" w:cs="Times New Roman"/>
          <w:color w:val="auto"/>
          <w:kern w:val="0"/>
          <w:sz w:val="21"/>
          <w:szCs w:val="21"/>
          <w:highlight w:val="none"/>
          <w:lang w:val="en-US" w:eastAsia="zh-CN" w:bidi="ar"/>
        </w:rPr>
        <w:t>3</w:t>
      </w:r>
      <w:r>
        <w:rPr>
          <w:rFonts w:hint="default" w:ascii="Times New Roman" w:hAnsi="Times New Roman" w:cs="Times New Roman"/>
          <w:color w:val="auto"/>
          <w:kern w:val="0"/>
          <w:sz w:val="21"/>
          <w:szCs w:val="21"/>
          <w:highlight w:val="none"/>
          <w:lang w:bidi="ar"/>
        </w:rPr>
        <w:t>%；果实硬度精品果和一等果≥7.0kg/cm²，二等果≥6.5kg/cm²。</w:t>
      </w:r>
    </w:p>
    <w:p w14:paraId="142BA37E">
      <w:pPr>
        <w:widowControl/>
        <w:spacing w:line="300" w:lineRule="auto"/>
        <w:ind w:firstLine="420" w:firstLineChars="200"/>
        <w:rPr>
          <w:rFonts w:hint="default" w:ascii="Times New Roman" w:hAnsi="Times New Roman" w:cs="Times New Roman"/>
          <w:color w:val="auto"/>
          <w:kern w:val="0"/>
          <w:sz w:val="21"/>
          <w:szCs w:val="21"/>
          <w:highlight w:val="none"/>
          <w:lang w:bidi="ar"/>
        </w:rPr>
      </w:pPr>
      <w:r>
        <w:rPr>
          <w:rFonts w:hint="default" w:ascii="Times New Roman" w:hAnsi="Times New Roman" w:cs="Times New Roman"/>
          <w:color w:val="auto"/>
          <w:kern w:val="0"/>
          <w:sz w:val="21"/>
          <w:szCs w:val="21"/>
          <w:highlight w:val="none"/>
          <w:lang w:bidi="ar"/>
        </w:rPr>
        <w:t>规格划分：结合表</w:t>
      </w:r>
      <w:r>
        <w:rPr>
          <w:rFonts w:hint="eastAsia" w:ascii="Times New Roman" w:hAnsi="Times New Roman" w:cs="Times New Roman"/>
          <w:color w:val="auto"/>
          <w:kern w:val="0"/>
          <w:sz w:val="21"/>
          <w:szCs w:val="21"/>
          <w:highlight w:val="none"/>
          <w:lang w:val="en-US" w:eastAsia="zh-CN" w:bidi="ar"/>
        </w:rPr>
        <w:t>4</w:t>
      </w:r>
      <w:r>
        <w:rPr>
          <w:rFonts w:hint="default" w:ascii="Times New Roman" w:hAnsi="Times New Roman" w:cs="Times New Roman"/>
          <w:color w:val="auto"/>
          <w:kern w:val="0"/>
          <w:sz w:val="21"/>
          <w:szCs w:val="21"/>
          <w:highlight w:val="none"/>
          <w:lang w:bidi="ar"/>
        </w:rPr>
        <w:t>的</w:t>
      </w:r>
      <w:r>
        <w:rPr>
          <w:rFonts w:hint="eastAsia" w:ascii="Times New Roman" w:hAnsi="Times New Roman" w:cs="Times New Roman"/>
          <w:color w:val="auto"/>
          <w:kern w:val="0"/>
          <w:sz w:val="21"/>
          <w:szCs w:val="21"/>
          <w:highlight w:val="none"/>
          <w:lang w:eastAsia="zh-CN" w:bidi="ar"/>
        </w:rPr>
        <w:t>数据</w:t>
      </w:r>
      <w:r>
        <w:rPr>
          <w:rFonts w:hint="default" w:ascii="Times New Roman" w:hAnsi="Times New Roman" w:cs="Times New Roman"/>
          <w:color w:val="auto"/>
          <w:kern w:val="0"/>
          <w:sz w:val="21"/>
          <w:szCs w:val="21"/>
          <w:highlight w:val="none"/>
          <w:lang w:bidi="ar"/>
        </w:rPr>
        <w:t>，以果实最大横径（mm）为标准，划分为</w:t>
      </w:r>
      <w:r>
        <w:rPr>
          <w:rFonts w:hint="eastAsia" w:ascii="Times New Roman" w:hAnsi="Times New Roman" w:cs="Times New Roman"/>
          <w:color w:val="auto"/>
          <w:kern w:val="0"/>
          <w:sz w:val="21"/>
          <w:szCs w:val="21"/>
          <w:highlight w:val="none"/>
          <w:lang w:val="en-US" w:eastAsia="zh-CN" w:bidi="ar"/>
        </w:rPr>
        <w:t>大型果</w:t>
      </w:r>
      <w:r>
        <w:rPr>
          <w:rFonts w:hint="default" w:ascii="Times New Roman" w:hAnsi="Times New Roman" w:cs="Times New Roman"/>
          <w:color w:val="auto"/>
          <w:kern w:val="0"/>
          <w:sz w:val="21"/>
          <w:szCs w:val="21"/>
          <w:highlight w:val="none"/>
          <w:lang w:bidi="ar"/>
        </w:rPr>
        <w:t>（≥</w:t>
      </w:r>
      <w:r>
        <w:rPr>
          <w:rFonts w:hint="eastAsia" w:ascii="Times New Roman" w:hAnsi="Times New Roman" w:cs="Times New Roman"/>
          <w:color w:val="auto"/>
          <w:kern w:val="0"/>
          <w:sz w:val="21"/>
          <w:szCs w:val="21"/>
          <w:highlight w:val="none"/>
          <w:lang w:val="en-US" w:eastAsia="zh-CN" w:bidi="ar"/>
        </w:rPr>
        <w:t>75</w:t>
      </w:r>
      <w:r>
        <w:rPr>
          <w:rFonts w:hint="default" w:ascii="Times New Roman" w:hAnsi="Times New Roman" w:cs="Times New Roman"/>
          <w:color w:val="auto"/>
          <w:kern w:val="0"/>
          <w:sz w:val="21"/>
          <w:szCs w:val="21"/>
          <w:highlight w:val="none"/>
          <w:lang w:bidi="ar"/>
        </w:rPr>
        <w:t>）、</w:t>
      </w:r>
      <w:r>
        <w:rPr>
          <w:rFonts w:hint="eastAsia" w:ascii="Times New Roman" w:hAnsi="Times New Roman" w:cs="Times New Roman"/>
          <w:color w:val="auto"/>
          <w:kern w:val="0"/>
          <w:sz w:val="21"/>
          <w:szCs w:val="21"/>
          <w:highlight w:val="none"/>
          <w:lang w:val="en-US" w:eastAsia="zh-CN" w:bidi="ar"/>
        </w:rPr>
        <w:t>中型果</w:t>
      </w:r>
      <w:r>
        <w:rPr>
          <w:rFonts w:hint="default" w:ascii="Times New Roman" w:hAnsi="Times New Roman" w:cs="Times New Roman"/>
          <w:color w:val="auto"/>
          <w:kern w:val="0"/>
          <w:sz w:val="21"/>
          <w:szCs w:val="21"/>
          <w:highlight w:val="none"/>
          <w:lang w:bidi="ar"/>
        </w:rPr>
        <w:t>（</w:t>
      </w:r>
      <w:r>
        <w:rPr>
          <w:rFonts w:hint="eastAsia" w:ascii="Times New Roman" w:hAnsi="Times New Roman" w:cs="Times New Roman"/>
          <w:color w:val="auto"/>
          <w:kern w:val="0"/>
          <w:sz w:val="21"/>
          <w:szCs w:val="21"/>
          <w:highlight w:val="none"/>
          <w:lang w:val="en-US" w:eastAsia="zh-CN" w:bidi="ar"/>
        </w:rPr>
        <w:t>65-74</w:t>
      </w:r>
      <w:r>
        <w:rPr>
          <w:rFonts w:hint="default" w:ascii="Times New Roman" w:hAnsi="Times New Roman" w:cs="Times New Roman"/>
          <w:color w:val="auto"/>
          <w:kern w:val="0"/>
          <w:sz w:val="21"/>
          <w:szCs w:val="21"/>
          <w:highlight w:val="none"/>
          <w:lang w:bidi="ar"/>
        </w:rPr>
        <w:t>）、</w:t>
      </w:r>
      <w:r>
        <w:rPr>
          <w:rFonts w:hint="eastAsia" w:ascii="Times New Roman" w:hAnsi="Times New Roman" w:cs="Times New Roman"/>
          <w:color w:val="auto"/>
          <w:kern w:val="0"/>
          <w:sz w:val="21"/>
          <w:szCs w:val="21"/>
          <w:highlight w:val="none"/>
          <w:lang w:val="en-US" w:eastAsia="zh-CN" w:bidi="ar"/>
        </w:rPr>
        <w:t>小型果</w:t>
      </w:r>
      <w:r>
        <w:rPr>
          <w:rFonts w:hint="default" w:ascii="Times New Roman" w:hAnsi="Times New Roman" w:cs="Times New Roman"/>
          <w:color w:val="auto"/>
          <w:kern w:val="0"/>
          <w:sz w:val="21"/>
          <w:szCs w:val="21"/>
          <w:highlight w:val="none"/>
          <w:lang w:bidi="ar"/>
        </w:rPr>
        <w:t>XS（≤</w:t>
      </w:r>
      <w:r>
        <w:rPr>
          <w:rFonts w:hint="eastAsia" w:ascii="Times New Roman" w:hAnsi="Times New Roman" w:cs="Times New Roman"/>
          <w:color w:val="auto"/>
          <w:kern w:val="0"/>
          <w:sz w:val="21"/>
          <w:szCs w:val="21"/>
          <w:highlight w:val="none"/>
          <w:lang w:val="en-US" w:eastAsia="zh-CN" w:bidi="ar"/>
        </w:rPr>
        <w:t>64</w:t>
      </w:r>
      <w:r>
        <w:rPr>
          <w:rFonts w:hint="default" w:ascii="Times New Roman" w:hAnsi="Times New Roman" w:cs="Times New Roman"/>
          <w:color w:val="auto"/>
          <w:kern w:val="0"/>
          <w:sz w:val="21"/>
          <w:szCs w:val="21"/>
          <w:highlight w:val="none"/>
          <w:lang w:bidi="ar"/>
        </w:rPr>
        <w:t>）等规格，以适应不同渠道需求。</w:t>
      </w:r>
    </w:p>
    <w:p w14:paraId="1E905787">
      <w:pPr>
        <w:widowControl/>
        <w:spacing w:line="300" w:lineRule="auto"/>
        <w:ind w:firstLine="420" w:firstLineChars="200"/>
        <w:rPr>
          <w:rFonts w:hint="default" w:ascii="Times New Roman" w:hAnsi="Times New Roman" w:cs="Times New Roman"/>
          <w:color w:val="auto"/>
          <w:kern w:val="0"/>
          <w:sz w:val="21"/>
          <w:szCs w:val="21"/>
          <w:highlight w:val="none"/>
          <w:lang w:bidi="ar"/>
        </w:rPr>
      </w:pPr>
      <w:r>
        <w:rPr>
          <w:rFonts w:hint="eastAsia" w:ascii="Times New Roman" w:hAnsi="Times New Roman" w:cs="Times New Roman"/>
          <w:color w:val="auto"/>
          <w:kern w:val="0"/>
          <w:sz w:val="21"/>
          <w:szCs w:val="21"/>
          <w:highlight w:val="none"/>
          <w:lang w:val="en-US" w:eastAsia="zh-CN" w:bidi="ar"/>
        </w:rPr>
        <w:t>5.</w:t>
      </w:r>
      <w:r>
        <w:rPr>
          <w:rFonts w:hint="default" w:ascii="Times New Roman" w:hAnsi="Times New Roman" w:cs="Times New Roman"/>
          <w:color w:val="auto"/>
          <w:kern w:val="0"/>
          <w:sz w:val="21"/>
          <w:szCs w:val="21"/>
          <w:highlight w:val="none"/>
          <w:lang w:bidi="ar"/>
        </w:rPr>
        <w:t>容许度：参考现货贸易习惯，设定了合理的等级和规格容许度。例如，精品果允许有不超过5%的果实不符合本等级要求（但必须符合一等果要求），低于GB/T10651中严格的零容忍，更符合产业实际。</w:t>
      </w:r>
    </w:p>
    <w:p w14:paraId="0F8C34EF">
      <w:pPr>
        <w:widowControl/>
        <w:spacing w:line="300" w:lineRule="auto"/>
        <w:ind w:firstLine="420" w:firstLineChars="200"/>
        <w:rPr>
          <w:rFonts w:hint="default" w:ascii="Times New Roman" w:hAnsi="Times New Roman" w:cs="Times New Roman"/>
          <w:color w:val="auto"/>
          <w:kern w:val="0"/>
          <w:sz w:val="21"/>
          <w:szCs w:val="21"/>
          <w:highlight w:val="none"/>
          <w:lang w:bidi="ar"/>
        </w:rPr>
      </w:pPr>
      <w:r>
        <w:rPr>
          <w:rFonts w:hint="eastAsia" w:ascii="Times New Roman" w:hAnsi="Times New Roman" w:cs="Times New Roman"/>
          <w:color w:val="auto"/>
          <w:kern w:val="0"/>
          <w:sz w:val="21"/>
          <w:szCs w:val="21"/>
          <w:highlight w:val="none"/>
          <w:lang w:val="en-US" w:eastAsia="zh-CN" w:bidi="ar"/>
        </w:rPr>
        <w:t>6.</w:t>
      </w:r>
      <w:r>
        <w:rPr>
          <w:rFonts w:hint="default" w:ascii="Times New Roman" w:hAnsi="Times New Roman" w:cs="Times New Roman"/>
          <w:color w:val="auto"/>
          <w:kern w:val="0"/>
          <w:sz w:val="21"/>
          <w:szCs w:val="21"/>
          <w:highlight w:val="none"/>
          <w:lang w:bidi="ar"/>
        </w:rPr>
        <w:t>试验方法：详细规定了各指标的检测方法。</w:t>
      </w:r>
    </w:p>
    <w:p w14:paraId="341D06F1">
      <w:pPr>
        <w:widowControl/>
        <w:spacing w:line="300" w:lineRule="auto"/>
        <w:ind w:firstLine="420" w:firstLineChars="200"/>
        <w:rPr>
          <w:rFonts w:hint="default" w:ascii="Times New Roman" w:hAnsi="Times New Roman" w:cs="Times New Roman"/>
          <w:color w:val="auto"/>
          <w:kern w:val="0"/>
          <w:sz w:val="21"/>
          <w:szCs w:val="21"/>
          <w:highlight w:val="none"/>
          <w:lang w:bidi="ar"/>
        </w:rPr>
      </w:pPr>
      <w:r>
        <w:rPr>
          <w:rFonts w:hint="default" w:ascii="Times New Roman" w:hAnsi="Times New Roman" w:cs="Times New Roman"/>
          <w:color w:val="auto"/>
          <w:kern w:val="0"/>
          <w:sz w:val="21"/>
          <w:szCs w:val="21"/>
          <w:highlight w:val="none"/>
          <w:lang w:bidi="ar"/>
        </w:rPr>
        <w:t>感官指标（果形、色泽、果面缺陷）：采用目测和量具测量。明确了“有效着色面积”的判定可采用“网格法”或与标准图谱对比。</w:t>
      </w:r>
    </w:p>
    <w:p w14:paraId="79991A32">
      <w:pPr>
        <w:widowControl/>
        <w:spacing w:line="300" w:lineRule="auto"/>
        <w:ind w:firstLine="420" w:firstLineChars="200"/>
        <w:rPr>
          <w:rFonts w:hint="default" w:ascii="Times New Roman" w:hAnsi="Times New Roman" w:cs="Times New Roman"/>
          <w:color w:val="auto"/>
          <w:kern w:val="0"/>
          <w:sz w:val="21"/>
          <w:szCs w:val="21"/>
          <w:highlight w:val="none"/>
          <w:lang w:bidi="ar"/>
        </w:rPr>
      </w:pPr>
      <w:r>
        <w:rPr>
          <w:rFonts w:hint="default" w:ascii="Times New Roman" w:hAnsi="Times New Roman" w:cs="Times New Roman"/>
          <w:color w:val="auto"/>
          <w:kern w:val="0"/>
          <w:sz w:val="21"/>
          <w:szCs w:val="21"/>
          <w:highlight w:val="none"/>
          <w:lang w:bidi="ar"/>
        </w:rPr>
        <w:t>理化指标：果实硬度按GB/T10651执行；可溶性固形物采用手持式数显糖度计法，并规定了具体操作步骤（校准、取样、读数）；可滴定酸按GB/T12456执行；固酸比按公式计算。</w:t>
      </w:r>
    </w:p>
    <w:p w14:paraId="77D6FCDB">
      <w:pPr>
        <w:widowControl/>
        <w:spacing w:line="300" w:lineRule="auto"/>
        <w:ind w:firstLine="420" w:firstLineChars="200"/>
        <w:rPr>
          <w:rFonts w:hint="default" w:ascii="Times New Roman" w:hAnsi="Times New Roman" w:cs="Times New Roman"/>
          <w:color w:val="auto"/>
          <w:kern w:val="0"/>
          <w:sz w:val="21"/>
          <w:szCs w:val="21"/>
          <w:highlight w:val="none"/>
          <w:lang w:bidi="ar"/>
        </w:rPr>
      </w:pPr>
      <w:r>
        <w:rPr>
          <w:rFonts w:hint="default" w:ascii="Times New Roman" w:hAnsi="Times New Roman" w:cs="Times New Roman"/>
          <w:color w:val="auto"/>
          <w:kern w:val="0"/>
          <w:sz w:val="21"/>
          <w:szCs w:val="21"/>
          <w:highlight w:val="none"/>
          <w:lang w:bidi="ar"/>
        </w:rPr>
        <w:t>内部病害：采用切果法检验，规定了取样数量和判定标准。</w:t>
      </w:r>
    </w:p>
    <w:p w14:paraId="3F6DF782">
      <w:pPr>
        <w:widowControl/>
        <w:spacing w:line="300" w:lineRule="auto"/>
        <w:ind w:firstLine="420" w:firstLineChars="200"/>
        <w:rPr>
          <w:rFonts w:hint="default" w:ascii="Times New Roman" w:hAnsi="Times New Roman" w:cs="Times New Roman"/>
          <w:color w:val="auto"/>
          <w:kern w:val="0"/>
          <w:sz w:val="21"/>
          <w:szCs w:val="21"/>
          <w:highlight w:val="none"/>
          <w:lang w:bidi="ar"/>
        </w:rPr>
      </w:pPr>
      <w:r>
        <w:rPr>
          <w:rFonts w:hint="eastAsia" w:ascii="Times New Roman" w:hAnsi="Times New Roman" w:cs="Times New Roman"/>
          <w:color w:val="auto"/>
          <w:kern w:val="0"/>
          <w:sz w:val="21"/>
          <w:szCs w:val="21"/>
          <w:highlight w:val="none"/>
          <w:lang w:val="en-US" w:eastAsia="zh-CN" w:bidi="ar"/>
        </w:rPr>
        <w:t>7.</w:t>
      </w:r>
      <w:r>
        <w:rPr>
          <w:rFonts w:hint="default" w:ascii="Times New Roman" w:hAnsi="Times New Roman" w:cs="Times New Roman"/>
          <w:color w:val="auto"/>
          <w:kern w:val="0"/>
          <w:sz w:val="21"/>
          <w:szCs w:val="21"/>
          <w:highlight w:val="none"/>
          <w:lang w:bidi="ar"/>
        </w:rPr>
        <w:t>检验规则、包装、标识：规定了组批、抽样、判定规则，以及对包装容器、标签内容（品种、等级、规格、净含量、产地等）的具体要求，与NY/T1778等标准要求保持一致。</w:t>
      </w:r>
    </w:p>
    <w:p w14:paraId="3BEE3960">
      <w:pPr>
        <w:widowControl/>
        <w:spacing w:line="300" w:lineRule="auto"/>
        <w:ind w:firstLine="420" w:firstLineChars="200"/>
        <w:rPr>
          <w:rFonts w:hint="eastAsia" w:ascii="黑体" w:hAnsi="黑体" w:eastAsia="黑体" w:cs="黑体"/>
          <w:b w:val="0"/>
          <w:bCs w:val="0"/>
          <w:color w:val="auto"/>
          <w:kern w:val="0"/>
          <w:sz w:val="21"/>
          <w:szCs w:val="21"/>
          <w:highlight w:val="none"/>
          <w:lang w:bidi="ar"/>
        </w:rPr>
      </w:pPr>
      <w:r>
        <w:rPr>
          <w:rFonts w:hint="eastAsia" w:ascii="黑体" w:hAnsi="黑体" w:eastAsia="黑体" w:cs="黑体"/>
          <w:b w:val="0"/>
          <w:bCs w:val="0"/>
          <w:color w:val="auto"/>
          <w:kern w:val="0"/>
          <w:sz w:val="21"/>
          <w:szCs w:val="21"/>
          <w:highlight w:val="none"/>
          <w:lang w:bidi="ar"/>
        </w:rPr>
        <w:t>三、主要试验（或验证）的分析、综述报告，技术经济论证，预期的经济效果、社会效益和生态效益</w:t>
      </w:r>
    </w:p>
    <w:p w14:paraId="3FD17B73">
      <w:pPr>
        <w:widowControl/>
        <w:spacing w:line="300" w:lineRule="auto"/>
        <w:ind w:firstLine="420" w:firstLineChars="200"/>
        <w:rPr>
          <w:rFonts w:hint="eastAsia" w:ascii="Times New Roman" w:hAnsi="Times New Roman" w:cs="Times New Roman"/>
          <w:color w:val="auto"/>
          <w:kern w:val="0"/>
          <w:sz w:val="21"/>
          <w:szCs w:val="21"/>
          <w:highlight w:val="none"/>
          <w:lang w:bidi="ar"/>
        </w:rPr>
      </w:pPr>
      <w:r>
        <w:rPr>
          <w:rFonts w:hint="eastAsia" w:ascii="Times New Roman" w:hAnsi="Times New Roman" w:cs="Times New Roman"/>
          <w:color w:val="auto"/>
          <w:kern w:val="0"/>
          <w:sz w:val="21"/>
          <w:szCs w:val="21"/>
          <w:highlight w:val="none"/>
          <w:lang w:bidi="ar"/>
        </w:rPr>
        <w:t>（一）主要试验（或验证）的分析</w:t>
      </w:r>
    </w:p>
    <w:p w14:paraId="6E7644D8">
      <w:pPr>
        <w:widowControl/>
        <w:spacing w:line="300" w:lineRule="auto"/>
        <w:ind w:firstLine="420" w:firstLineChars="200"/>
        <w:rPr>
          <w:rFonts w:hint="eastAsia" w:ascii="Times New Roman" w:hAnsi="Times New Roman" w:cs="Times New Roman"/>
          <w:color w:val="auto"/>
          <w:kern w:val="0"/>
          <w:sz w:val="21"/>
          <w:szCs w:val="21"/>
          <w:highlight w:val="none"/>
          <w:lang w:bidi="ar"/>
        </w:rPr>
      </w:pPr>
      <w:r>
        <w:rPr>
          <w:rFonts w:hint="eastAsia" w:ascii="Times New Roman" w:hAnsi="Times New Roman" w:cs="Times New Roman"/>
          <w:color w:val="auto"/>
          <w:kern w:val="0"/>
          <w:sz w:val="21"/>
          <w:szCs w:val="21"/>
          <w:highlight w:val="none"/>
          <w:lang w:bidi="ar"/>
        </w:rPr>
        <w:t>为验证本标准指标的科学性，起草组</w:t>
      </w:r>
      <w:r>
        <w:rPr>
          <w:rFonts w:hint="eastAsia" w:ascii="Times New Roman" w:hAnsi="Times New Roman" w:cs="Times New Roman"/>
          <w:color w:val="auto"/>
          <w:kern w:val="0"/>
          <w:sz w:val="21"/>
          <w:szCs w:val="21"/>
          <w:highlight w:val="none"/>
          <w:lang w:eastAsia="zh-CN" w:bidi="ar"/>
        </w:rPr>
        <w:t>在</w:t>
      </w:r>
      <w:r>
        <w:rPr>
          <w:rFonts w:hint="eastAsia" w:ascii="Times New Roman" w:hAnsi="Times New Roman" w:eastAsia="仿宋" w:cs="Times New Roman"/>
          <w:i w:val="0"/>
          <w:iCs w:val="0"/>
          <w:caps w:val="0"/>
          <w:color w:val="auto"/>
          <w:spacing w:val="0"/>
          <w:kern w:val="0"/>
          <w:sz w:val="21"/>
          <w:szCs w:val="21"/>
          <w:highlight w:val="none"/>
          <w:shd w:val="clear"/>
          <w:lang w:bidi="ar"/>
        </w:rPr>
        <w:t>威海金苹果</w:t>
      </w:r>
      <w:r>
        <w:rPr>
          <w:rFonts w:hint="eastAsia" w:ascii="Times New Roman" w:hAnsi="Times New Roman" w:cs="Times New Roman"/>
          <w:color w:val="auto"/>
          <w:kern w:val="0"/>
          <w:sz w:val="21"/>
          <w:szCs w:val="21"/>
          <w:highlight w:val="none"/>
          <w:lang w:bidi="ar"/>
        </w:rPr>
        <w:t>主产区（如山东</w:t>
      </w:r>
      <w:r>
        <w:rPr>
          <w:rFonts w:hint="eastAsia" w:ascii="Times New Roman" w:hAnsi="Times New Roman" w:cs="Times New Roman"/>
          <w:color w:val="auto"/>
          <w:kern w:val="0"/>
          <w:sz w:val="21"/>
          <w:szCs w:val="21"/>
          <w:highlight w:val="none"/>
          <w:lang w:val="en-US" w:eastAsia="zh-CN" w:bidi="ar"/>
        </w:rPr>
        <w:t>威海</w:t>
      </w:r>
      <w:r>
        <w:rPr>
          <w:rFonts w:hint="eastAsia" w:ascii="Times New Roman" w:hAnsi="Times New Roman" w:cs="Times New Roman"/>
          <w:color w:val="auto"/>
          <w:kern w:val="0"/>
          <w:sz w:val="21"/>
          <w:szCs w:val="21"/>
          <w:highlight w:val="none"/>
          <w:lang w:bidi="ar"/>
        </w:rPr>
        <w:t>、</w:t>
      </w:r>
      <w:r>
        <w:rPr>
          <w:rFonts w:hint="eastAsia" w:ascii="Times New Roman" w:hAnsi="Times New Roman" w:cs="Times New Roman"/>
          <w:color w:val="auto"/>
          <w:kern w:val="0"/>
          <w:sz w:val="21"/>
          <w:szCs w:val="21"/>
          <w:highlight w:val="none"/>
          <w:lang w:val="en-US" w:eastAsia="zh-CN" w:bidi="ar"/>
        </w:rPr>
        <w:t>烟台，河北保定</w:t>
      </w:r>
      <w:r>
        <w:rPr>
          <w:rFonts w:hint="eastAsia" w:ascii="Times New Roman" w:hAnsi="Times New Roman" w:cs="Times New Roman"/>
          <w:color w:val="auto"/>
          <w:kern w:val="0"/>
          <w:sz w:val="21"/>
          <w:szCs w:val="21"/>
          <w:highlight w:val="none"/>
          <w:lang w:bidi="ar"/>
        </w:rPr>
        <w:t>、</w:t>
      </w:r>
      <w:r>
        <w:rPr>
          <w:rFonts w:hint="eastAsia" w:ascii="Times New Roman" w:hAnsi="Times New Roman" w:cs="Times New Roman"/>
          <w:color w:val="auto"/>
          <w:kern w:val="0"/>
          <w:sz w:val="21"/>
          <w:szCs w:val="21"/>
          <w:highlight w:val="none"/>
          <w:lang w:val="en-US" w:eastAsia="zh-CN" w:bidi="ar"/>
        </w:rPr>
        <w:t>陕西延安</w:t>
      </w:r>
      <w:r>
        <w:rPr>
          <w:rFonts w:hint="eastAsia" w:ascii="Times New Roman" w:hAnsi="Times New Roman" w:cs="Times New Roman"/>
          <w:color w:val="auto"/>
          <w:kern w:val="0"/>
          <w:sz w:val="21"/>
          <w:szCs w:val="21"/>
          <w:highlight w:val="none"/>
          <w:lang w:bidi="ar"/>
        </w:rPr>
        <w:t>等）进行实地调研，深入了解苹果种植、采摘、储存等环节的实际情况，收集了大量一手数据。采集了不同果园、不同管理水平的</w:t>
      </w:r>
      <w:r>
        <w:rPr>
          <w:rFonts w:hint="eastAsia" w:ascii="Times New Roman" w:hAnsi="Times New Roman" w:eastAsia="仿宋" w:cs="Times New Roman"/>
          <w:i w:val="0"/>
          <w:iCs w:val="0"/>
          <w:caps w:val="0"/>
          <w:color w:val="auto"/>
          <w:spacing w:val="0"/>
          <w:kern w:val="0"/>
          <w:sz w:val="21"/>
          <w:szCs w:val="21"/>
          <w:highlight w:val="none"/>
          <w:shd w:val="clear"/>
          <w:lang w:bidi="ar"/>
        </w:rPr>
        <w:t>威海金苹果</w:t>
      </w:r>
      <w:r>
        <w:rPr>
          <w:rFonts w:hint="eastAsia" w:ascii="Times New Roman" w:hAnsi="Times New Roman" w:cs="Times New Roman"/>
          <w:color w:val="auto"/>
          <w:kern w:val="0"/>
          <w:sz w:val="21"/>
          <w:szCs w:val="21"/>
          <w:highlight w:val="none"/>
          <w:lang w:bidi="ar"/>
        </w:rPr>
        <w:t>样品共</w:t>
      </w:r>
      <w:r>
        <w:rPr>
          <w:rFonts w:hint="eastAsia" w:ascii="Times New Roman" w:hAnsi="Times New Roman" w:cs="Times New Roman"/>
          <w:color w:val="auto"/>
          <w:kern w:val="0"/>
          <w:sz w:val="21"/>
          <w:szCs w:val="21"/>
          <w:highlight w:val="none"/>
          <w:lang w:val="en-US" w:eastAsia="zh-CN" w:bidi="ar"/>
        </w:rPr>
        <w:t>1</w:t>
      </w:r>
      <w:r>
        <w:rPr>
          <w:rFonts w:hint="eastAsia" w:ascii="Times New Roman" w:hAnsi="Times New Roman" w:cs="Times New Roman"/>
          <w:color w:val="auto"/>
          <w:kern w:val="0"/>
          <w:sz w:val="21"/>
          <w:szCs w:val="21"/>
          <w:highlight w:val="none"/>
          <w:lang w:bidi="ar"/>
        </w:rPr>
        <w:t>00余份。</w:t>
      </w:r>
    </w:p>
    <w:p w14:paraId="0BB49657">
      <w:pPr>
        <w:widowControl/>
        <w:spacing w:line="300" w:lineRule="auto"/>
        <w:ind w:firstLine="420" w:firstLineChars="200"/>
        <w:rPr>
          <w:rFonts w:hint="eastAsia" w:ascii="Times New Roman" w:hAnsi="Times New Roman" w:cs="Times New Roman"/>
          <w:color w:val="auto"/>
          <w:kern w:val="0"/>
          <w:sz w:val="21"/>
          <w:szCs w:val="21"/>
          <w:highlight w:val="none"/>
          <w:lang w:val="en-US" w:eastAsia="zh-CN" w:bidi="ar"/>
        </w:rPr>
      </w:pPr>
      <w:r>
        <w:rPr>
          <w:rFonts w:hint="eastAsia" w:ascii="Times New Roman" w:hAnsi="Times New Roman" w:cs="Times New Roman"/>
          <w:color w:val="auto"/>
          <w:kern w:val="0"/>
          <w:sz w:val="21"/>
          <w:szCs w:val="21"/>
          <w:highlight w:val="none"/>
          <w:lang w:val="en-US" w:eastAsia="zh-CN" w:bidi="ar"/>
        </w:rPr>
        <w:t>在试验验证环节，通过严格的实验设计和数据分析，对标准的各项指标进行了科学验证。一方面与国家果蔬及加工产品质量检验检测中心多年开展的全国苹果检验检测数据进行比对，包括苹果期货交割检验数据（2020年—2025年），威海苹果质量数据（2021年—2025年）等，连续的检测验证，保证了标准数据的准确性。</w:t>
      </w:r>
    </w:p>
    <w:p w14:paraId="273EA637">
      <w:pPr>
        <w:widowControl/>
        <w:spacing w:line="300" w:lineRule="auto"/>
        <w:ind w:firstLine="420" w:firstLineChars="200"/>
        <w:rPr>
          <w:rFonts w:hint="eastAsia" w:ascii="Times New Roman" w:hAnsi="Times New Roman" w:cs="Times New Roman"/>
          <w:color w:val="auto"/>
          <w:kern w:val="0"/>
          <w:sz w:val="21"/>
          <w:szCs w:val="21"/>
          <w:highlight w:val="none"/>
          <w:lang w:val="en-US" w:eastAsia="zh-CN" w:bidi="ar"/>
        </w:rPr>
      </w:pPr>
      <w:r>
        <w:rPr>
          <w:rFonts w:hint="eastAsia" w:ascii="Times New Roman" w:hAnsi="Times New Roman" w:cs="Times New Roman"/>
          <w:color w:val="auto"/>
          <w:kern w:val="0"/>
          <w:sz w:val="21"/>
          <w:szCs w:val="21"/>
          <w:highlight w:val="none"/>
          <w:lang w:val="en-US" w:eastAsia="zh-CN" w:bidi="ar"/>
        </w:rPr>
        <w:t>本标准的制定和实施，对于提升我国苹果产业的整体质量水平具有重要意义。从经济层面来看，本标准的实施有助于提高苹果产品的市场竞争力。通过科学的质量分级，能够更好地满足不同消费者的需求，提升产品附加值。同时，标准的实施也有助于减少因质量问题导致的经济损失。综上所述，本标准的制定和实施，经过了充分的研究和科学的试验验证，具有较高的科学性、实用性和规范性。其在技术上的先进性和经济上的可行性，为我国苹果产业的高质量发展提供了有力保障。</w:t>
      </w:r>
    </w:p>
    <w:p w14:paraId="096FDC9F">
      <w:pPr>
        <w:widowControl/>
        <w:spacing w:line="300" w:lineRule="auto"/>
        <w:ind w:firstLine="420" w:firstLineChars="200"/>
        <w:rPr>
          <w:rFonts w:hint="eastAsia" w:ascii="Times New Roman" w:hAnsi="Times New Roman" w:cs="Times New Roman"/>
          <w:color w:val="auto"/>
          <w:kern w:val="0"/>
          <w:sz w:val="21"/>
          <w:szCs w:val="21"/>
          <w:highlight w:val="none"/>
          <w:lang w:val="en-US" w:eastAsia="zh-CN" w:bidi="ar"/>
        </w:rPr>
      </w:pPr>
      <w:r>
        <w:rPr>
          <w:rFonts w:hint="eastAsia" w:ascii="Times New Roman" w:hAnsi="Times New Roman" w:cs="Times New Roman"/>
          <w:color w:val="auto"/>
          <w:kern w:val="0"/>
          <w:sz w:val="21"/>
          <w:szCs w:val="21"/>
          <w:highlight w:val="none"/>
          <w:lang w:bidi="ar"/>
        </w:rPr>
        <w:t>（二）预期的经济效益、社会效益和生态效益</w:t>
      </w:r>
    </w:p>
    <w:p w14:paraId="1ACBF98C">
      <w:pPr>
        <w:widowControl/>
        <w:spacing w:line="300" w:lineRule="auto"/>
        <w:ind w:firstLine="420" w:firstLineChars="200"/>
        <w:rPr>
          <w:rFonts w:hint="eastAsia" w:ascii="Times New Roman" w:hAnsi="Times New Roman" w:cs="Times New Roman"/>
          <w:color w:val="auto"/>
          <w:kern w:val="0"/>
          <w:sz w:val="21"/>
          <w:szCs w:val="21"/>
          <w:highlight w:val="none"/>
          <w:lang w:val="en-US" w:eastAsia="zh-CN" w:bidi="ar"/>
        </w:rPr>
      </w:pPr>
      <w:r>
        <w:rPr>
          <w:rFonts w:hint="eastAsia" w:ascii="Times New Roman" w:hAnsi="Times New Roman" w:cs="Times New Roman"/>
          <w:color w:val="auto"/>
          <w:kern w:val="0"/>
          <w:sz w:val="21"/>
          <w:szCs w:val="21"/>
          <w:highlight w:val="none"/>
          <w:lang w:val="en-US" w:eastAsia="zh-CN" w:bidi="ar"/>
        </w:rPr>
        <w:t>1.经济效益</w:t>
      </w:r>
    </w:p>
    <w:p w14:paraId="673A366A">
      <w:pPr>
        <w:widowControl/>
        <w:spacing w:line="300" w:lineRule="auto"/>
        <w:ind w:firstLine="420" w:firstLineChars="200"/>
        <w:rPr>
          <w:rFonts w:hint="eastAsia" w:ascii="Times New Roman" w:hAnsi="Times New Roman" w:cs="Times New Roman"/>
          <w:color w:val="auto"/>
          <w:kern w:val="0"/>
          <w:sz w:val="21"/>
          <w:szCs w:val="21"/>
          <w:highlight w:val="none"/>
          <w:lang w:val="en-US" w:eastAsia="zh-CN" w:bidi="ar"/>
        </w:rPr>
      </w:pPr>
      <w:r>
        <w:rPr>
          <w:rFonts w:hint="eastAsia" w:ascii="Times New Roman" w:hAnsi="Times New Roman" w:cs="Times New Roman"/>
          <w:color w:val="auto"/>
          <w:kern w:val="0"/>
          <w:sz w:val="21"/>
          <w:szCs w:val="21"/>
          <w:highlight w:val="none"/>
          <w:lang w:val="en-US" w:eastAsia="zh-CN" w:bidi="ar"/>
        </w:rPr>
        <w:t>苹果质量标准的修订将显著提升产业的经济效益。首先，通过明确更高的质量要求，苹果的品质和安全性将得到提升，有助于打造高端品牌，提高产品附加值和市场竞争力。其次，引入绿色防控、节水灌溉、减肥减药等先进生产技术，推动苹果产业向智能化、高效化方向发展，降低生产成本，提高生产效率。标准的实施将增加农民收入，通过质量要求倒逼标准化管理，提升商品率和优果率，直接带动农民增收。此外，有助于提升我国苹果在国际市场上的竞争力，增加出口量，促进外汇收入增长，进一步拓展国内外市场。</w:t>
      </w:r>
    </w:p>
    <w:p w14:paraId="55768DDF">
      <w:pPr>
        <w:widowControl/>
        <w:spacing w:line="300" w:lineRule="auto"/>
        <w:ind w:firstLine="420" w:firstLineChars="200"/>
        <w:rPr>
          <w:rFonts w:hint="eastAsia" w:ascii="Times New Roman" w:hAnsi="Times New Roman" w:cs="Times New Roman"/>
          <w:color w:val="auto"/>
          <w:kern w:val="0"/>
          <w:sz w:val="21"/>
          <w:szCs w:val="21"/>
          <w:highlight w:val="none"/>
          <w:lang w:val="en-US" w:eastAsia="zh-CN" w:bidi="ar"/>
        </w:rPr>
      </w:pPr>
      <w:r>
        <w:rPr>
          <w:rFonts w:hint="eastAsia" w:ascii="Times New Roman" w:hAnsi="Times New Roman" w:cs="Times New Roman"/>
          <w:color w:val="auto"/>
          <w:kern w:val="0"/>
          <w:sz w:val="21"/>
          <w:szCs w:val="21"/>
          <w:highlight w:val="none"/>
          <w:lang w:val="en-US" w:eastAsia="zh-CN" w:bidi="ar"/>
        </w:rPr>
        <w:t>2.社会效益</w:t>
      </w:r>
    </w:p>
    <w:p w14:paraId="68AEE721">
      <w:pPr>
        <w:widowControl/>
        <w:spacing w:line="300" w:lineRule="auto"/>
        <w:ind w:firstLine="420" w:firstLineChars="200"/>
        <w:rPr>
          <w:rFonts w:hint="eastAsia" w:ascii="Times New Roman" w:hAnsi="Times New Roman" w:cs="Times New Roman"/>
          <w:color w:val="auto"/>
          <w:kern w:val="0"/>
          <w:sz w:val="21"/>
          <w:szCs w:val="21"/>
          <w:highlight w:val="none"/>
          <w:lang w:val="en-US" w:eastAsia="zh-CN" w:bidi="ar"/>
        </w:rPr>
      </w:pPr>
      <w:r>
        <w:rPr>
          <w:rFonts w:hint="eastAsia" w:ascii="Times New Roman" w:hAnsi="Times New Roman" w:cs="Times New Roman"/>
          <w:color w:val="auto"/>
          <w:kern w:val="0"/>
          <w:sz w:val="21"/>
          <w:szCs w:val="21"/>
          <w:highlight w:val="none"/>
          <w:lang w:val="en-US" w:eastAsia="zh-CN" w:bidi="ar"/>
        </w:rPr>
        <w:t>苹果质量标准的修订将带来显著的社会效益。首先，修订后的标准将更加严格地规范苹果生产、加工、储存和运输等环节，确保产品质量安全，保障消费者的健康。其次，通过标准化生产，推动苹果产业规模化、标准化发展，创造更多就业机会，促进农民增收，提升农民的生活水平。此外，标准的实施有助于推动苹果产业的整体升级，增强产业的可持续发展能力，提升我国苹果产业在国际上的整体形象和竞争力，为社会经济的稳定发展提供有力支撑。</w:t>
      </w:r>
    </w:p>
    <w:p w14:paraId="68A9850D">
      <w:pPr>
        <w:widowControl/>
        <w:spacing w:line="300" w:lineRule="auto"/>
        <w:ind w:firstLine="420" w:firstLineChars="200"/>
        <w:rPr>
          <w:rFonts w:hint="eastAsia" w:ascii="Times New Roman" w:hAnsi="Times New Roman" w:cs="Times New Roman"/>
          <w:color w:val="auto"/>
          <w:kern w:val="0"/>
          <w:sz w:val="21"/>
          <w:szCs w:val="21"/>
          <w:highlight w:val="none"/>
          <w:lang w:val="en-US" w:eastAsia="zh-CN" w:bidi="ar"/>
        </w:rPr>
      </w:pPr>
      <w:r>
        <w:rPr>
          <w:rFonts w:hint="eastAsia" w:ascii="Times New Roman" w:hAnsi="Times New Roman" w:cs="Times New Roman"/>
          <w:color w:val="auto"/>
          <w:kern w:val="0"/>
          <w:sz w:val="21"/>
          <w:szCs w:val="21"/>
          <w:highlight w:val="none"/>
          <w:lang w:val="en-US" w:eastAsia="zh-CN" w:bidi="ar"/>
        </w:rPr>
        <w:t>3.生态效益</w:t>
      </w:r>
    </w:p>
    <w:p w14:paraId="038FBF42">
      <w:pPr>
        <w:widowControl/>
        <w:spacing w:line="300" w:lineRule="auto"/>
        <w:ind w:firstLine="420" w:firstLineChars="200"/>
        <w:rPr>
          <w:rFonts w:hint="eastAsia" w:ascii="Times New Roman" w:hAnsi="Times New Roman" w:cs="Times New Roman"/>
          <w:color w:val="auto"/>
          <w:kern w:val="0"/>
          <w:sz w:val="21"/>
          <w:szCs w:val="21"/>
          <w:highlight w:val="none"/>
          <w:lang w:bidi="ar"/>
        </w:rPr>
      </w:pPr>
      <w:r>
        <w:rPr>
          <w:rFonts w:hint="eastAsia" w:ascii="Times New Roman" w:hAnsi="Times New Roman" w:cs="Times New Roman"/>
          <w:color w:val="auto"/>
          <w:kern w:val="0"/>
          <w:sz w:val="21"/>
          <w:szCs w:val="21"/>
          <w:highlight w:val="none"/>
          <w:lang w:val="en-US" w:eastAsia="zh-CN" w:bidi="ar"/>
        </w:rPr>
        <w:t>苹果质量标准的修订将带来显著的生态效益。高质量标准化的苹果要求必须通过标准化的生态栽培技术，减少病虫害的发生，降低农药残留，保护果园生态环境，促进生态平衡。此外，标准的实施有助于提高资源利用效率，减少浪费，推动苹果产业向绿色、可持续方向发展，为生态环境保护和可持续发展提供有力支持。</w:t>
      </w:r>
    </w:p>
    <w:p w14:paraId="0455DFED">
      <w:pPr>
        <w:widowControl/>
        <w:spacing w:line="300" w:lineRule="auto"/>
        <w:ind w:firstLine="420" w:firstLineChars="200"/>
        <w:rPr>
          <w:rFonts w:hint="eastAsia" w:ascii="黑体" w:hAnsi="黑体" w:eastAsia="黑体" w:cs="黑体"/>
          <w:color w:val="auto"/>
          <w:kern w:val="0"/>
          <w:sz w:val="21"/>
          <w:szCs w:val="21"/>
          <w:highlight w:val="none"/>
          <w:lang w:bidi="ar"/>
        </w:rPr>
      </w:pPr>
      <w:r>
        <w:rPr>
          <w:rFonts w:hint="eastAsia" w:ascii="黑体" w:hAnsi="黑体" w:eastAsia="黑体" w:cs="黑体"/>
          <w:color w:val="auto"/>
          <w:kern w:val="0"/>
          <w:sz w:val="21"/>
          <w:szCs w:val="21"/>
          <w:highlight w:val="none"/>
          <w:lang w:bidi="ar"/>
        </w:rPr>
        <w:t>四、与国际、国外同类标准技术内容的对比情况</w:t>
      </w:r>
    </w:p>
    <w:p w14:paraId="3FF8B33C">
      <w:pPr>
        <w:widowControl/>
        <w:spacing w:line="300" w:lineRule="auto"/>
        <w:ind w:firstLine="420" w:firstLineChars="200"/>
        <w:rPr>
          <w:rFonts w:hint="eastAsia" w:ascii="Times New Roman" w:hAnsi="Times New Roman" w:cs="Times New Roman"/>
          <w:color w:val="auto"/>
          <w:kern w:val="0"/>
          <w:sz w:val="21"/>
          <w:szCs w:val="21"/>
          <w:highlight w:val="none"/>
          <w:lang w:bidi="ar"/>
        </w:rPr>
      </w:pPr>
      <w:r>
        <w:rPr>
          <w:rFonts w:hint="eastAsia" w:ascii="Times New Roman" w:hAnsi="Times New Roman" w:cs="Times New Roman"/>
          <w:color w:val="auto"/>
          <w:kern w:val="0"/>
          <w:sz w:val="21"/>
          <w:szCs w:val="21"/>
          <w:highlight w:val="none"/>
          <w:lang w:bidi="ar"/>
        </w:rPr>
        <w:t>未采用国际、国外标准。</w:t>
      </w:r>
    </w:p>
    <w:p w14:paraId="54688EC3">
      <w:pPr>
        <w:widowControl/>
        <w:spacing w:line="300" w:lineRule="auto"/>
        <w:ind w:firstLine="420" w:firstLineChars="200"/>
        <w:rPr>
          <w:rFonts w:hint="eastAsia" w:ascii="黑体" w:hAnsi="黑体" w:eastAsia="黑体" w:cs="黑体"/>
          <w:color w:val="auto"/>
          <w:kern w:val="0"/>
          <w:sz w:val="21"/>
          <w:szCs w:val="21"/>
          <w:highlight w:val="none"/>
          <w:lang w:bidi="ar"/>
        </w:rPr>
      </w:pPr>
      <w:r>
        <w:rPr>
          <w:rFonts w:hint="eastAsia" w:ascii="黑体" w:hAnsi="黑体" w:eastAsia="黑体" w:cs="黑体"/>
          <w:color w:val="auto"/>
          <w:kern w:val="0"/>
          <w:sz w:val="21"/>
          <w:szCs w:val="21"/>
          <w:highlight w:val="none"/>
          <w:lang w:bidi="ar"/>
        </w:rPr>
        <w:t>五、以国际标准为基础的起草情况</w:t>
      </w:r>
    </w:p>
    <w:p w14:paraId="0D5AC713">
      <w:pPr>
        <w:widowControl/>
        <w:spacing w:line="300" w:lineRule="auto"/>
        <w:ind w:firstLine="420" w:firstLineChars="200"/>
        <w:rPr>
          <w:rFonts w:hint="eastAsia" w:ascii="Times New Roman" w:hAnsi="Times New Roman" w:cs="Times New Roman"/>
          <w:color w:val="auto"/>
          <w:kern w:val="0"/>
          <w:sz w:val="21"/>
          <w:szCs w:val="21"/>
          <w:highlight w:val="none"/>
          <w:lang w:bidi="ar"/>
        </w:rPr>
      </w:pPr>
      <w:r>
        <w:rPr>
          <w:rFonts w:hint="eastAsia" w:ascii="Times New Roman" w:hAnsi="Times New Roman" w:cs="Times New Roman"/>
          <w:color w:val="auto"/>
          <w:kern w:val="0"/>
          <w:sz w:val="21"/>
          <w:szCs w:val="21"/>
          <w:highlight w:val="none"/>
          <w:lang w:bidi="ar"/>
        </w:rPr>
        <w:t>无。</w:t>
      </w:r>
    </w:p>
    <w:p w14:paraId="47D5080D">
      <w:pPr>
        <w:widowControl/>
        <w:spacing w:line="300" w:lineRule="auto"/>
        <w:ind w:firstLine="420" w:firstLineChars="200"/>
        <w:rPr>
          <w:rFonts w:hint="eastAsia" w:ascii="黑体" w:hAnsi="黑体" w:eastAsia="黑体" w:cs="黑体"/>
          <w:color w:val="auto"/>
          <w:kern w:val="0"/>
          <w:sz w:val="21"/>
          <w:szCs w:val="21"/>
          <w:highlight w:val="none"/>
          <w:lang w:bidi="ar"/>
        </w:rPr>
      </w:pPr>
      <w:r>
        <w:rPr>
          <w:rFonts w:hint="eastAsia" w:ascii="黑体" w:hAnsi="黑体" w:eastAsia="黑体" w:cs="黑体"/>
          <w:color w:val="auto"/>
          <w:kern w:val="0"/>
          <w:sz w:val="21"/>
          <w:szCs w:val="21"/>
          <w:highlight w:val="none"/>
          <w:lang w:bidi="ar"/>
        </w:rPr>
        <w:t>六、与有关法律、行政法规及相关标准关系</w:t>
      </w:r>
    </w:p>
    <w:p w14:paraId="654BA836">
      <w:pPr>
        <w:widowControl/>
        <w:spacing w:line="300" w:lineRule="auto"/>
        <w:ind w:firstLine="420" w:firstLineChars="200"/>
        <w:rPr>
          <w:rFonts w:hint="eastAsia" w:ascii="Times New Roman" w:hAnsi="Times New Roman" w:cs="Times New Roman"/>
          <w:color w:val="auto"/>
          <w:kern w:val="0"/>
          <w:sz w:val="21"/>
          <w:szCs w:val="21"/>
          <w:highlight w:val="none"/>
          <w:lang w:bidi="ar"/>
        </w:rPr>
      </w:pPr>
      <w:r>
        <w:rPr>
          <w:rFonts w:hint="eastAsia" w:ascii="Times New Roman" w:hAnsi="Times New Roman" w:cs="Times New Roman"/>
          <w:color w:val="auto"/>
          <w:kern w:val="0"/>
          <w:sz w:val="21"/>
          <w:szCs w:val="21"/>
          <w:highlight w:val="none"/>
          <w:lang w:bidi="ar"/>
        </w:rPr>
        <w:t>本标准按照《中华人民共和国食品安全法》和《中华人民共和国食品安全法实施条例》关于食品安全标准的规定，充分考虑鲜苹果产业发展现状和实际需求严格贯彻国家有关方针、政策、法律和规章，严格执行强制性国家标准和行业标准。在术语、通用要求等方面与相关的法规和标准主要有：GB/T10651-2008《鲜苹果》、NY/T1793-2009《苹果等级规格》、NY/T2316-2013《苹果品质指标评价规范》、NY/T2714-2015《农产品等级规格评定技术规范通则》等。本标准保持了协调和衔接</w:t>
      </w:r>
      <w:r>
        <w:rPr>
          <w:rFonts w:hint="eastAsia" w:ascii="Times New Roman" w:hAnsi="Times New Roman" w:cs="Times New Roman"/>
          <w:color w:val="auto"/>
          <w:kern w:val="0"/>
          <w:sz w:val="21"/>
          <w:szCs w:val="21"/>
          <w:highlight w:val="none"/>
          <w:lang w:eastAsia="zh-CN" w:bidi="ar"/>
        </w:rPr>
        <w:t>，</w:t>
      </w:r>
      <w:r>
        <w:rPr>
          <w:rFonts w:hint="eastAsia" w:ascii="Times New Roman" w:hAnsi="Times New Roman" w:cs="Times New Roman"/>
          <w:color w:val="auto"/>
          <w:kern w:val="0"/>
          <w:sz w:val="21"/>
          <w:szCs w:val="21"/>
          <w:highlight w:val="none"/>
          <w:lang w:val="en-US" w:eastAsia="zh-CN" w:bidi="ar"/>
        </w:rPr>
        <w:t>也</w:t>
      </w:r>
      <w:r>
        <w:rPr>
          <w:rFonts w:hint="eastAsia" w:ascii="Times New Roman" w:hAnsi="Times New Roman" w:cs="Times New Roman"/>
          <w:color w:val="auto"/>
          <w:kern w:val="0"/>
          <w:sz w:val="21"/>
          <w:szCs w:val="21"/>
          <w:highlight w:val="none"/>
          <w:lang w:bidi="ar"/>
        </w:rPr>
        <w:t>是对GB/T10651中关于苹果质量等级内容的细化和补充，尤其是在</w:t>
      </w:r>
      <w:r>
        <w:rPr>
          <w:rFonts w:hint="eastAsia" w:ascii="Times New Roman" w:hAnsi="Times New Roman" w:eastAsia="仿宋" w:cs="Times New Roman"/>
          <w:i w:val="0"/>
          <w:iCs w:val="0"/>
          <w:caps w:val="0"/>
          <w:color w:val="auto"/>
          <w:spacing w:val="0"/>
          <w:kern w:val="0"/>
          <w:sz w:val="21"/>
          <w:szCs w:val="21"/>
          <w:highlight w:val="none"/>
          <w:shd w:val="clear"/>
          <w:lang w:bidi="ar"/>
        </w:rPr>
        <w:t>威海金苹果</w:t>
      </w:r>
      <w:r>
        <w:rPr>
          <w:rFonts w:hint="eastAsia" w:ascii="Times New Roman" w:hAnsi="Times New Roman" w:cs="Times New Roman"/>
          <w:color w:val="auto"/>
          <w:kern w:val="0"/>
          <w:sz w:val="21"/>
          <w:szCs w:val="21"/>
          <w:highlight w:val="none"/>
          <w:lang w:bidi="ar"/>
        </w:rPr>
        <w:t>这一特定品种上，具有更强的指导性。</w:t>
      </w:r>
    </w:p>
    <w:p w14:paraId="5C173618">
      <w:pPr>
        <w:widowControl/>
        <w:spacing w:line="300" w:lineRule="auto"/>
        <w:ind w:firstLine="420" w:firstLineChars="200"/>
        <w:rPr>
          <w:rFonts w:hint="eastAsia" w:ascii="黑体" w:hAnsi="黑体" w:eastAsia="黑体" w:cs="黑体"/>
          <w:color w:val="auto"/>
          <w:kern w:val="0"/>
          <w:sz w:val="21"/>
          <w:szCs w:val="21"/>
          <w:highlight w:val="none"/>
          <w:lang w:bidi="ar"/>
        </w:rPr>
      </w:pPr>
      <w:r>
        <w:rPr>
          <w:rFonts w:hint="eastAsia" w:ascii="黑体" w:hAnsi="黑体" w:eastAsia="黑体" w:cs="黑体"/>
          <w:color w:val="auto"/>
          <w:kern w:val="0"/>
          <w:sz w:val="21"/>
          <w:szCs w:val="21"/>
          <w:highlight w:val="none"/>
          <w:lang w:bidi="ar"/>
        </w:rPr>
        <w:t>七、重大分歧意见的处理经过和依据</w:t>
      </w:r>
    </w:p>
    <w:p w14:paraId="4BE43470">
      <w:pPr>
        <w:widowControl/>
        <w:spacing w:line="300" w:lineRule="auto"/>
        <w:ind w:firstLine="420" w:firstLineChars="200"/>
        <w:rPr>
          <w:rFonts w:hint="eastAsia" w:ascii="Times New Roman" w:hAnsi="Times New Roman" w:cs="Times New Roman"/>
          <w:color w:val="auto"/>
          <w:kern w:val="0"/>
          <w:sz w:val="21"/>
          <w:szCs w:val="21"/>
          <w:highlight w:val="none"/>
          <w:lang w:bidi="ar"/>
        </w:rPr>
      </w:pPr>
      <w:r>
        <w:rPr>
          <w:rFonts w:hint="eastAsia" w:ascii="Times New Roman" w:hAnsi="Times New Roman" w:cs="Times New Roman"/>
          <w:color w:val="auto"/>
          <w:kern w:val="0"/>
          <w:sz w:val="21"/>
          <w:szCs w:val="21"/>
          <w:highlight w:val="none"/>
          <w:lang w:bidi="ar"/>
        </w:rPr>
        <w:t>无。</w:t>
      </w:r>
    </w:p>
    <w:p w14:paraId="14232420">
      <w:pPr>
        <w:widowControl/>
        <w:spacing w:line="300" w:lineRule="auto"/>
        <w:ind w:firstLine="420" w:firstLineChars="200"/>
        <w:rPr>
          <w:rFonts w:hint="eastAsia" w:ascii="Times New Roman" w:hAnsi="Times New Roman" w:cs="Times New Roman"/>
          <w:color w:val="auto"/>
          <w:kern w:val="0"/>
          <w:sz w:val="21"/>
          <w:szCs w:val="21"/>
          <w:highlight w:val="none"/>
          <w:lang w:bidi="ar"/>
        </w:rPr>
      </w:pPr>
      <w:r>
        <w:rPr>
          <w:rFonts w:hint="eastAsia" w:ascii="黑体" w:hAnsi="黑体" w:eastAsia="黑体" w:cs="黑体"/>
          <w:color w:val="auto"/>
          <w:kern w:val="0"/>
          <w:sz w:val="21"/>
          <w:szCs w:val="21"/>
          <w:highlight w:val="none"/>
          <w:lang w:bidi="ar"/>
        </w:rPr>
        <w:t>八、涉及专利的有关说明</w:t>
      </w:r>
    </w:p>
    <w:p w14:paraId="56FC7406">
      <w:pPr>
        <w:widowControl/>
        <w:spacing w:line="300" w:lineRule="auto"/>
        <w:ind w:firstLine="420" w:firstLineChars="200"/>
        <w:rPr>
          <w:rFonts w:hint="eastAsia" w:ascii="Times New Roman" w:hAnsi="Times New Roman" w:cs="Times New Roman"/>
          <w:color w:val="auto"/>
          <w:kern w:val="0"/>
          <w:sz w:val="21"/>
          <w:szCs w:val="21"/>
          <w:highlight w:val="none"/>
          <w:lang w:bidi="ar"/>
        </w:rPr>
      </w:pPr>
      <w:r>
        <w:rPr>
          <w:rFonts w:hint="eastAsia" w:ascii="Times New Roman" w:hAnsi="Times New Roman" w:cs="Times New Roman"/>
          <w:color w:val="auto"/>
          <w:kern w:val="0"/>
          <w:sz w:val="21"/>
          <w:szCs w:val="21"/>
          <w:highlight w:val="none"/>
          <w:lang w:bidi="ar"/>
        </w:rPr>
        <w:t>本标准在编制过程中未涉及任何专利问题。</w:t>
      </w:r>
    </w:p>
    <w:p w14:paraId="595605E4">
      <w:pPr>
        <w:widowControl/>
        <w:spacing w:line="300" w:lineRule="auto"/>
        <w:ind w:firstLine="420" w:firstLineChars="200"/>
        <w:rPr>
          <w:rFonts w:hint="eastAsia" w:ascii="黑体" w:hAnsi="黑体" w:eastAsia="黑体" w:cs="黑体"/>
          <w:color w:val="auto"/>
          <w:kern w:val="0"/>
          <w:sz w:val="21"/>
          <w:szCs w:val="21"/>
          <w:highlight w:val="none"/>
          <w:lang w:bidi="ar"/>
        </w:rPr>
      </w:pPr>
      <w:r>
        <w:rPr>
          <w:rFonts w:hint="eastAsia" w:ascii="黑体" w:hAnsi="黑体" w:eastAsia="黑体" w:cs="黑体"/>
          <w:color w:val="auto"/>
          <w:kern w:val="0"/>
          <w:sz w:val="21"/>
          <w:szCs w:val="21"/>
          <w:highlight w:val="none"/>
          <w:lang w:bidi="ar"/>
        </w:rPr>
        <w:t>九、实施标准的要求，以及组织措施、技术措施、过渡期和实施日期的建议等措施建议</w:t>
      </w:r>
    </w:p>
    <w:p w14:paraId="1BAFB5A9">
      <w:pPr>
        <w:widowControl/>
        <w:spacing w:line="300" w:lineRule="auto"/>
        <w:ind w:firstLine="420" w:firstLineChars="200"/>
        <w:rPr>
          <w:rFonts w:hint="eastAsia" w:ascii="Times New Roman" w:hAnsi="Times New Roman" w:cs="Times New Roman"/>
          <w:color w:val="auto"/>
          <w:kern w:val="0"/>
          <w:sz w:val="21"/>
          <w:szCs w:val="21"/>
          <w:highlight w:val="none"/>
          <w:lang w:bidi="ar"/>
        </w:rPr>
      </w:pPr>
      <w:r>
        <w:rPr>
          <w:rFonts w:hint="eastAsia" w:ascii="Times New Roman" w:hAnsi="Times New Roman" w:cs="Times New Roman"/>
          <w:color w:val="auto"/>
          <w:kern w:val="0"/>
          <w:sz w:val="21"/>
          <w:szCs w:val="21"/>
          <w:highlight w:val="none"/>
          <w:lang w:bidi="ar"/>
        </w:rPr>
        <w:t>建议在苹果</w:t>
      </w:r>
      <w:r>
        <w:rPr>
          <w:rFonts w:hint="eastAsia" w:ascii="Times New Roman" w:hAnsi="Times New Roman" w:cs="Times New Roman"/>
          <w:color w:val="auto"/>
          <w:kern w:val="0"/>
          <w:sz w:val="21"/>
          <w:szCs w:val="21"/>
          <w:highlight w:val="none"/>
          <w:lang w:val="en-US" w:eastAsia="zh-CN" w:bidi="ar"/>
        </w:rPr>
        <w:t>主</w:t>
      </w:r>
      <w:r>
        <w:rPr>
          <w:rFonts w:hint="eastAsia" w:ascii="Times New Roman" w:hAnsi="Times New Roman" w:cs="Times New Roman"/>
          <w:color w:val="auto"/>
          <w:kern w:val="0"/>
          <w:sz w:val="21"/>
          <w:szCs w:val="21"/>
          <w:highlight w:val="none"/>
          <w:lang w:bidi="ar"/>
        </w:rPr>
        <w:t>产区宣传培训本标准，促进各型组织贯彻实施标准，带动企业进行大规模应用，从而更好</w:t>
      </w:r>
      <w:r>
        <w:rPr>
          <w:rFonts w:hint="eastAsia" w:ascii="Times New Roman" w:hAnsi="Times New Roman" w:cs="Times New Roman"/>
          <w:color w:val="auto"/>
          <w:kern w:val="0"/>
          <w:sz w:val="21"/>
          <w:szCs w:val="21"/>
          <w:highlight w:val="none"/>
          <w:lang w:eastAsia="zh-CN" w:bidi="ar"/>
        </w:rPr>
        <w:t>地</w:t>
      </w:r>
      <w:r>
        <w:rPr>
          <w:rFonts w:hint="eastAsia" w:ascii="Times New Roman" w:hAnsi="Times New Roman" w:cs="Times New Roman"/>
          <w:color w:val="auto"/>
          <w:kern w:val="0"/>
          <w:sz w:val="21"/>
          <w:szCs w:val="21"/>
          <w:highlight w:val="none"/>
          <w:lang w:bidi="ar"/>
        </w:rPr>
        <w:t>促进苹果的国内外商贸交易活动。</w:t>
      </w:r>
    </w:p>
    <w:p w14:paraId="660A892B">
      <w:pPr>
        <w:widowControl/>
        <w:spacing w:line="300" w:lineRule="auto"/>
        <w:ind w:firstLine="420" w:firstLineChars="200"/>
        <w:rPr>
          <w:rFonts w:hint="eastAsia" w:ascii="黑体" w:hAnsi="黑体" w:eastAsia="黑体" w:cs="黑体"/>
          <w:color w:val="auto"/>
          <w:kern w:val="0"/>
          <w:sz w:val="21"/>
          <w:szCs w:val="21"/>
          <w:highlight w:val="none"/>
          <w:lang w:bidi="ar"/>
        </w:rPr>
      </w:pPr>
      <w:r>
        <w:rPr>
          <w:rFonts w:hint="eastAsia" w:ascii="黑体" w:hAnsi="黑体" w:eastAsia="黑体" w:cs="黑体"/>
          <w:color w:val="auto"/>
          <w:kern w:val="0"/>
          <w:sz w:val="21"/>
          <w:szCs w:val="21"/>
          <w:highlight w:val="none"/>
          <w:lang w:bidi="ar"/>
        </w:rPr>
        <w:t>十、其他应当说明的事项</w:t>
      </w:r>
    </w:p>
    <w:p w14:paraId="5D25630D">
      <w:pPr>
        <w:widowControl/>
        <w:spacing w:line="300" w:lineRule="auto"/>
        <w:ind w:firstLine="420" w:firstLineChars="200"/>
        <w:rPr>
          <w:rFonts w:hint="eastAsia" w:ascii="Times New Roman" w:hAnsi="Times New Roman" w:cs="Times New Roman"/>
          <w:color w:val="auto"/>
          <w:kern w:val="0"/>
          <w:sz w:val="21"/>
          <w:szCs w:val="21"/>
          <w:highlight w:val="none"/>
          <w:lang w:bidi="ar"/>
        </w:rPr>
      </w:pPr>
      <w:r>
        <w:rPr>
          <w:rFonts w:hint="eastAsia" w:ascii="Times New Roman" w:hAnsi="Times New Roman" w:cs="Times New Roman"/>
          <w:color w:val="auto"/>
          <w:kern w:val="0"/>
          <w:sz w:val="21"/>
          <w:szCs w:val="21"/>
          <w:highlight w:val="none"/>
          <w:lang w:bidi="ar"/>
        </w:rPr>
        <w:t>无。</w:t>
      </w:r>
    </w:p>
    <w:p w14:paraId="77484015">
      <w:pPr>
        <w:widowControl/>
        <w:spacing w:line="300" w:lineRule="auto"/>
        <w:ind w:left="0" w:leftChars="0"/>
        <w:jc w:val="left"/>
        <w:rPr>
          <w:rFonts w:ascii="Times New Roman" w:hAnsi="Times New Roman" w:cs="Times New Roman"/>
          <w:color w:val="auto"/>
          <w:kern w:val="0"/>
          <w:sz w:val="21"/>
          <w:szCs w:val="21"/>
          <w:highlight w:val="none"/>
          <w:lang w:bidi="ar"/>
        </w:rPr>
      </w:pPr>
    </w:p>
    <w:sectPr>
      <w:pgSz w:w="11906" w:h="16838"/>
      <w:pgMar w:top="1440" w:right="1587" w:bottom="1440"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B2E4775-B87E-4C7C-9B49-30462D76076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embedRegular r:id="rId2" w:fontKey="{05D38B34-9BD2-4A77-BC43-AC1BBD1FF32E}"/>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auto"/>
    <w:pitch w:val="default"/>
    <w:sig w:usb0="800002BF" w:usb1="38CF7CFA" w:usb2="00000016" w:usb3="00000000" w:csb0="00040001" w:csb1="00000000"/>
    <w:embedRegular r:id="rId3" w:fontKey="{D6E13932-5A77-49D8-90CB-580EE1826691}"/>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2F04FB2"/>
    <w:multiLevelType w:val="multilevel"/>
    <w:tmpl w:val="32F04FB2"/>
    <w:lvl w:ilvl="0" w:tentative="0">
      <w:start w:val="1"/>
      <w:numFmt w:val="lowerLetter"/>
      <w:pStyle w:val="19"/>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
    <w:nsid w:val="646260FA"/>
    <w:multiLevelType w:val="multilevel"/>
    <w:tmpl w:val="646260FA"/>
    <w:lvl w:ilvl="0" w:tentative="0">
      <w:start w:val="1"/>
      <w:numFmt w:val="decimal"/>
      <w:pStyle w:val="20"/>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RhODg5NWFhNzUxYzY3YmE1ODAxZWI2NDVjZGUyODUifQ=="/>
  </w:docVars>
  <w:rsids>
    <w:rsidRoot w:val="006E2ED4"/>
    <w:rsid w:val="000462C5"/>
    <w:rsid w:val="00333CC4"/>
    <w:rsid w:val="00385152"/>
    <w:rsid w:val="00402C4E"/>
    <w:rsid w:val="00464F39"/>
    <w:rsid w:val="00476151"/>
    <w:rsid w:val="00540F45"/>
    <w:rsid w:val="005842E3"/>
    <w:rsid w:val="005A356D"/>
    <w:rsid w:val="005E70B3"/>
    <w:rsid w:val="006C57BF"/>
    <w:rsid w:val="006E2ED4"/>
    <w:rsid w:val="006F6405"/>
    <w:rsid w:val="008260A8"/>
    <w:rsid w:val="00BB454B"/>
    <w:rsid w:val="00BF7304"/>
    <w:rsid w:val="00C01F1F"/>
    <w:rsid w:val="00C51846"/>
    <w:rsid w:val="00C5636C"/>
    <w:rsid w:val="00C82180"/>
    <w:rsid w:val="00CD7E40"/>
    <w:rsid w:val="00D1283D"/>
    <w:rsid w:val="00D37BAA"/>
    <w:rsid w:val="00D4323D"/>
    <w:rsid w:val="00E23AB6"/>
    <w:rsid w:val="00E6581C"/>
    <w:rsid w:val="00F54582"/>
    <w:rsid w:val="00FF4AA6"/>
    <w:rsid w:val="00FF6C21"/>
    <w:rsid w:val="02AA4B10"/>
    <w:rsid w:val="03AF1619"/>
    <w:rsid w:val="067D79AD"/>
    <w:rsid w:val="07004915"/>
    <w:rsid w:val="0D945BD6"/>
    <w:rsid w:val="11383B12"/>
    <w:rsid w:val="11CA5AD9"/>
    <w:rsid w:val="13146E2D"/>
    <w:rsid w:val="138403CC"/>
    <w:rsid w:val="13C943E6"/>
    <w:rsid w:val="13E15A6E"/>
    <w:rsid w:val="155123F0"/>
    <w:rsid w:val="15E66070"/>
    <w:rsid w:val="1997072D"/>
    <w:rsid w:val="1C01076B"/>
    <w:rsid w:val="1DD8524D"/>
    <w:rsid w:val="1ED61AE4"/>
    <w:rsid w:val="1F0D52F7"/>
    <w:rsid w:val="20DD39E4"/>
    <w:rsid w:val="21485060"/>
    <w:rsid w:val="2157399A"/>
    <w:rsid w:val="21883513"/>
    <w:rsid w:val="21F11323"/>
    <w:rsid w:val="23A203FB"/>
    <w:rsid w:val="246C3C2F"/>
    <w:rsid w:val="2787049A"/>
    <w:rsid w:val="2862032B"/>
    <w:rsid w:val="29447D0A"/>
    <w:rsid w:val="29F553A6"/>
    <w:rsid w:val="2CE06DE1"/>
    <w:rsid w:val="2D9476A6"/>
    <w:rsid w:val="2EF10330"/>
    <w:rsid w:val="2F650C5A"/>
    <w:rsid w:val="337B4EF0"/>
    <w:rsid w:val="343F775D"/>
    <w:rsid w:val="34FB1072"/>
    <w:rsid w:val="35026026"/>
    <w:rsid w:val="35227FDE"/>
    <w:rsid w:val="3601619E"/>
    <w:rsid w:val="372A6973"/>
    <w:rsid w:val="39EE0C75"/>
    <w:rsid w:val="3C32329E"/>
    <w:rsid w:val="3E157CEF"/>
    <w:rsid w:val="3EF8392A"/>
    <w:rsid w:val="40604A37"/>
    <w:rsid w:val="40725373"/>
    <w:rsid w:val="410E46E1"/>
    <w:rsid w:val="42CC5F3C"/>
    <w:rsid w:val="439711A6"/>
    <w:rsid w:val="44ED1E04"/>
    <w:rsid w:val="46083551"/>
    <w:rsid w:val="464D3663"/>
    <w:rsid w:val="475F0EC2"/>
    <w:rsid w:val="489922A2"/>
    <w:rsid w:val="4CD6689C"/>
    <w:rsid w:val="4F0C7D82"/>
    <w:rsid w:val="4F2F55FF"/>
    <w:rsid w:val="516C5A20"/>
    <w:rsid w:val="51E41A5B"/>
    <w:rsid w:val="528402A2"/>
    <w:rsid w:val="538035C5"/>
    <w:rsid w:val="54B719AB"/>
    <w:rsid w:val="54FA633D"/>
    <w:rsid w:val="59606417"/>
    <w:rsid w:val="5A242985"/>
    <w:rsid w:val="5B6D3A0A"/>
    <w:rsid w:val="5D1F4F79"/>
    <w:rsid w:val="60184A58"/>
    <w:rsid w:val="609603C4"/>
    <w:rsid w:val="64A62004"/>
    <w:rsid w:val="67AB0BF9"/>
    <w:rsid w:val="67FA77F2"/>
    <w:rsid w:val="67FE12C9"/>
    <w:rsid w:val="68DA1E85"/>
    <w:rsid w:val="6AE278FD"/>
    <w:rsid w:val="6BE70EF8"/>
    <w:rsid w:val="6CE23EFF"/>
    <w:rsid w:val="6CF8557B"/>
    <w:rsid w:val="702172B2"/>
    <w:rsid w:val="74BE67B7"/>
    <w:rsid w:val="75B55577"/>
    <w:rsid w:val="7C071DCA"/>
    <w:rsid w:val="7E0E3838"/>
    <w:rsid w:val="7E1D20AD"/>
    <w:rsid w:val="7E615C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 w:cs="仿宋"/>
      <w:kern w:val="2"/>
      <w:sz w:val="32"/>
      <w:szCs w:val="32"/>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2"/>
    <w:next w:val="1"/>
    <w:qFormat/>
    <w:uiPriority w:val="9"/>
    <w:pPr>
      <w:spacing w:line="360" w:lineRule="auto"/>
      <w:ind w:firstLine="442" w:firstLineChars="200"/>
      <w:outlineLvl w:val="1"/>
    </w:pPr>
    <w:rPr>
      <w:rFonts w:ascii="Cambria" w:hAnsi="Cambria" w:eastAsia="楷体"/>
      <w:sz w:val="22"/>
      <w:szCs w:val="32"/>
    </w:rPr>
  </w:style>
  <w:style w:type="paragraph" w:styleId="4">
    <w:name w:val="heading 3"/>
    <w:basedOn w:val="1"/>
    <w:next w:val="1"/>
    <w:semiHidden/>
    <w:unhideWhenUsed/>
    <w:qFormat/>
    <w:uiPriority w:val="0"/>
    <w:pPr>
      <w:spacing w:beforeAutospacing="1" w:afterAutospacing="1"/>
      <w:jc w:val="left"/>
      <w:outlineLvl w:val="2"/>
    </w:pPr>
    <w:rPr>
      <w:rFonts w:hint="eastAsia" w:ascii="宋体" w:hAnsi="宋体" w:eastAsia="宋体" w:cs="Times New Roman"/>
      <w:b/>
      <w:bCs/>
      <w:kern w:val="0"/>
      <w:sz w:val="27"/>
      <w:szCs w:val="27"/>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Body Text Indent"/>
    <w:basedOn w:val="1"/>
    <w:qFormat/>
    <w:uiPriority w:val="0"/>
    <w:pPr>
      <w:tabs>
        <w:tab w:val="left" w:pos="2268"/>
      </w:tabs>
      <w:spacing w:line="560" w:lineRule="exact"/>
      <w:ind w:firstLine="600" w:firstLineChars="200"/>
    </w:pPr>
    <w:rPr>
      <w:rFonts w:ascii="仿宋_GB2312"/>
      <w:sz w:val="30"/>
      <w:szCs w:val="24"/>
    </w:rPr>
  </w:style>
  <w:style w:type="paragraph" w:styleId="6">
    <w:name w:val="footer"/>
    <w:basedOn w:val="1"/>
    <w:link w:val="17"/>
    <w:qFormat/>
    <w:uiPriority w:val="0"/>
    <w:pPr>
      <w:tabs>
        <w:tab w:val="center" w:pos="4153"/>
        <w:tab w:val="right" w:pos="8306"/>
      </w:tabs>
      <w:snapToGrid w:val="0"/>
      <w:jc w:val="left"/>
    </w:pPr>
    <w:rPr>
      <w:sz w:val="18"/>
      <w:szCs w:val="18"/>
    </w:rPr>
  </w:style>
  <w:style w:type="paragraph" w:styleId="7">
    <w:name w:val="header"/>
    <w:basedOn w:val="1"/>
    <w:link w:val="16"/>
    <w:qFormat/>
    <w:uiPriority w:val="0"/>
    <w:pPr>
      <w:pBdr>
        <w:bottom w:val="single" w:color="auto" w:sz="6" w:space="1"/>
      </w:pBdr>
      <w:tabs>
        <w:tab w:val="center" w:pos="4153"/>
        <w:tab w:val="right" w:pos="8306"/>
      </w:tabs>
      <w:snapToGrid w:val="0"/>
      <w:jc w:val="center"/>
    </w:pPr>
    <w:rPr>
      <w:sz w:val="18"/>
      <w:szCs w:val="18"/>
    </w:rPr>
  </w:style>
  <w:style w:type="paragraph" w:styleId="8">
    <w:name w:val="toc 2"/>
    <w:basedOn w:val="1"/>
    <w:next w:val="1"/>
    <w:qFormat/>
    <w:uiPriority w:val="0"/>
    <w:pPr>
      <w:ind w:left="420" w:leftChars="200"/>
    </w:pPr>
  </w:style>
  <w:style w:type="paragraph" w:styleId="9">
    <w:name w:val="HTML Preformatted"/>
    <w:basedOn w:val="1"/>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kern w:val="0"/>
      <w:sz w:val="24"/>
    </w:rPr>
  </w:style>
  <w:style w:type="paragraph" w:styleId="10">
    <w:name w:val="Normal (Web)"/>
    <w:basedOn w:val="1"/>
    <w:qFormat/>
    <w:uiPriority w:val="0"/>
    <w:pPr>
      <w:spacing w:before="100" w:beforeAutospacing="1" w:after="100" w:afterAutospacing="1"/>
      <w:jc w:val="left"/>
    </w:pPr>
    <w:rPr>
      <w:rFonts w:cs="Times New Roman"/>
      <w:kern w:val="0"/>
      <w:sz w:val="24"/>
    </w:rPr>
  </w:style>
  <w:style w:type="table" w:styleId="12">
    <w:name w:val="Table Grid"/>
    <w:basedOn w:val="11"/>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0"/>
    <w:rPr>
      <w:b/>
    </w:rPr>
  </w:style>
  <w:style w:type="character" w:styleId="15">
    <w:name w:val="Emphasis"/>
    <w:basedOn w:val="13"/>
    <w:qFormat/>
    <w:uiPriority w:val="0"/>
    <w:rPr>
      <w:i/>
    </w:rPr>
  </w:style>
  <w:style w:type="character" w:customStyle="1" w:styleId="16">
    <w:name w:val="页眉 字符"/>
    <w:basedOn w:val="13"/>
    <w:link w:val="7"/>
    <w:qFormat/>
    <w:uiPriority w:val="0"/>
    <w:rPr>
      <w:rFonts w:ascii="Calibri" w:hAnsi="Calibri" w:eastAsia="仿宋" w:cs="仿宋"/>
      <w:kern w:val="2"/>
      <w:sz w:val="18"/>
      <w:szCs w:val="18"/>
    </w:rPr>
  </w:style>
  <w:style w:type="character" w:customStyle="1" w:styleId="17">
    <w:name w:val="页脚 字符"/>
    <w:basedOn w:val="13"/>
    <w:link w:val="6"/>
    <w:qFormat/>
    <w:uiPriority w:val="0"/>
    <w:rPr>
      <w:rFonts w:ascii="Calibri" w:hAnsi="Calibri" w:eastAsia="仿宋" w:cs="仿宋"/>
      <w:kern w:val="2"/>
      <w:sz w:val="18"/>
      <w:szCs w:val="18"/>
    </w:rPr>
  </w:style>
  <w:style w:type="paragraph" w:styleId="18">
    <w:name w:val="List Paragraph"/>
    <w:basedOn w:val="1"/>
    <w:qFormat/>
    <w:uiPriority w:val="99"/>
    <w:pPr>
      <w:ind w:firstLine="420" w:firstLineChars="200"/>
    </w:pPr>
  </w:style>
  <w:style w:type="paragraph" w:customStyle="1" w:styleId="19">
    <w:name w:val="标准文件_图表脚注"/>
    <w:basedOn w:val="1"/>
    <w:next w:val="1"/>
    <w:qFormat/>
    <w:uiPriority w:val="0"/>
    <w:pPr>
      <w:numPr>
        <w:ilvl w:val="0"/>
        <w:numId w:val="1"/>
      </w:numPr>
      <w:adjustRightInd w:val="0"/>
      <w:jc w:val="left"/>
    </w:pPr>
    <w:rPr>
      <w:rFonts w:ascii="宋体" w:hAnsi="宋体" w:eastAsia="宋体" w:cs="Times New Roman"/>
      <w:sz w:val="18"/>
      <w:szCs w:val="21"/>
    </w:rPr>
  </w:style>
  <w:style w:type="paragraph" w:customStyle="1" w:styleId="20">
    <w:name w:val="标准文件_正文表标题"/>
    <w:next w:val="21"/>
    <w:qFormat/>
    <w:uiPriority w:val="0"/>
    <w:pPr>
      <w:numPr>
        <w:ilvl w:val="0"/>
        <w:numId w:val="2"/>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21">
    <w:name w:val="标准文件_段"/>
    <w:link w:val="23"/>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2">
    <w:name w:val="标准文件_表格"/>
    <w:basedOn w:val="1"/>
    <w:qFormat/>
    <w:uiPriority w:val="0"/>
    <w:pPr>
      <w:widowControl/>
      <w:autoSpaceDE w:val="0"/>
      <w:autoSpaceDN w:val="0"/>
      <w:jc w:val="center"/>
    </w:pPr>
    <w:rPr>
      <w:rFonts w:ascii="宋体" w:hAnsi="Times New Roman" w:eastAsia="宋体" w:cs="Times New Roman"/>
      <w:kern w:val="0"/>
      <w:sz w:val="18"/>
      <w:szCs w:val="20"/>
    </w:rPr>
  </w:style>
  <w:style w:type="character" w:customStyle="1" w:styleId="23">
    <w:name w:val="标准文件_段 Char"/>
    <w:link w:val="21"/>
    <w:qFormat/>
    <w:uiPriority w:val="0"/>
    <w:rPr>
      <w:rFonts w:ascii="宋体"/>
      <w:sz w:val="21"/>
    </w:rPr>
  </w:style>
  <w:style w:type="paragraph" w:customStyle="1" w:styleId="24">
    <w:name w:val="标准文件_标准正文"/>
    <w:basedOn w:val="1"/>
    <w:next w:val="21"/>
    <w:qFormat/>
    <w:uiPriority w:val="0"/>
    <w:pPr>
      <w:adjustRightInd w:val="0"/>
      <w:snapToGrid w:val="0"/>
      <w:spacing w:line="400" w:lineRule="exact"/>
      <w:ind w:firstLine="200" w:firstLineChars="200"/>
    </w:pPr>
    <w:rPr>
      <w:rFonts w:eastAsia="宋体" w:cs="Times New Roman"/>
      <w:kern w:val="0"/>
      <w:sz w:val="21"/>
      <w:szCs w:val="21"/>
    </w:rPr>
  </w:style>
  <w:style w:type="paragraph" w:customStyle="1" w:styleId="25">
    <w:name w:val="标准文件_正文公式"/>
    <w:basedOn w:val="1"/>
    <w:next w:val="24"/>
    <w:qFormat/>
    <w:uiPriority w:val="0"/>
    <w:pPr>
      <w:tabs>
        <w:tab w:val="center" w:pos="4678"/>
        <w:tab w:val="right" w:leader="middleDot" w:pos="9356"/>
      </w:tabs>
      <w:adjustRightInd w:val="0"/>
    </w:pPr>
    <w:rPr>
      <w:rFonts w:ascii="宋体" w:hAnsi="宋体" w:eastAsia="宋体" w:cs="Times New Roman"/>
      <w:sz w:val="21"/>
      <w:szCs w:val="21"/>
    </w:rPr>
  </w:style>
  <w:style w:type="paragraph" w:customStyle="1" w:styleId="26">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kern w:val="0"/>
      <w:sz w:val="21"/>
      <w:szCs w:val="20"/>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6014502c-e4e3-4364-8458-b8a7f28b18b3</errorID>
      <errorWord>亟需</errorWord>
      <group>L1_Word</group>
      <groupName>字词问题</groupName>
      <ability>L2_Typo</ability>
      <abilityName>字词错误</abilityName>
      <candidateList>
        <item>亟须</item>
      </candidateList>
      <explain/>
      <paraID>6CC2ACB5</paraID>
      <start>357</start>
      <end>359</end>
      <status>ignored</status>
      <modifiedWord/>
      <trackRevisions>false</trackRevisions>
    </reviewItem>
    <reviewItem>
      <errorID>6a6caf2b-370a-478f-ad3d-1ce2ece3e793</errorID>
      <errorWord>王小非</errorWord>
      <group>L1_Sensitive</group>
      <groupName>敏感问题</groupName>
      <ability>L2_Disgraced</ability>
      <abilityName>落马官员</abilityName>
      <candidateList/>
      <explain>【落马官员】请注意，&lt;王小非&gt;为已落马官员的姓名。</explain>
      <paraID>61211D1C</paraID>
      <start>9</start>
      <end>12</end>
      <status>ignored</status>
      <modifiedWord/>
      <trackRevisions>false</trackRevisions>
    </reviewItem>
    <reviewItem>
      <errorID>a056234e-d430-4079-b6c3-262d66b12e64</errorID>
      <errorWord>-</errorWord>
      <group>L1_Punc</group>
      <groupName>标点问题</groupName>
      <ability>L2_Punc_CN</ability>
      <abilityName>标点符号问题</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 9536032</paraID>
      <start>7</start>
      <end>8</end>
      <status>modified</status>
      <modifiedWord>—</modifiedWord>
      <trackRevisions>false</trackRevisions>
    </reviewItem>
    <reviewItem>
      <errorID>90cd6e69-67b2-451d-99f5-6d82c0549463</errorID>
      <errorWord>系统的学习</errorWord>
      <group>L1_Word</group>
      <groupName>字词问题</groupName>
      <ability>L2_Typo</ability>
      <abilityName>字词错误</abilityName>
      <candidateList>
        <item>系统地学习</item>
      </candidateList>
      <explain/>
      <paraID> 9536032</paraID>
      <start>74</start>
      <end>79</end>
      <status>modified</status>
      <modifiedWord>系统地学习</modifiedWord>
      <trackRevisions>false</trackRevisions>
    </reviewItem>
    <reviewItem>
      <errorID>f035e07e-2305-4c6f-ae9b-ace329f60753</errorID>
      <errorWord>-</errorWord>
      <group>L1_Punc</group>
      <groupName>标点问题</groupName>
      <ability>L2_Punc_CN</ability>
      <abilityName>标点符号问题</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4BE8432A</paraID>
      <start>7</start>
      <end>8</end>
      <status>modified</status>
      <modifiedWord>—</modifiedWord>
      <trackRevisions>false</trackRevisions>
    </reviewItem>
    <reviewItem>
      <errorID>c9cda147-a72c-428d-92b7-644a8dfb0e3a</errorID>
      <errorWord>系统的学习</errorWord>
      <group>L1_Word</group>
      <groupName>字词问题</groupName>
      <ability>L2_Typo</ability>
      <abilityName>字词错误</abilityName>
      <candidateList>
        <item>系统地学习</item>
      </candidateList>
      <explain/>
      <paraID>4BE8432A</paraID>
      <start>206</start>
      <end>211</end>
      <status>modified</status>
      <modifiedWord>系统地学习</modifiedWord>
      <trackRevisions>false</trackRevisions>
    </reviewItem>
    <reviewItem>
      <errorID>886aad62-141f-44c3-8098-620ef25aa41e</errorID>
      <errorWord>-</errorWord>
      <group>L1_Punc</group>
      <groupName>标点问题</groupName>
      <ability>L2_Punc_CN</ability>
      <abilityName>标点符号问题</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6B246CBD</paraID>
      <start>7</start>
      <end>8</end>
      <status>modified</status>
      <modifiedWord>—</modifiedWord>
      <trackRevisions>false</trackRevisions>
    </reviewItem>
    <reviewItem>
      <errorID>04e6711b-29e0-4ead-934a-eea96d972f8b</errorID>
      <errorWord>-</errorWord>
      <group>L1_Word</group>
      <groupName>字词问题</groupName>
      <ability>L2_Typo</ability>
      <abilityName>字词错误</abilityName>
      <candidateList>
        <item>月-</item>
      </candidateList>
      <explain/>
      <paraID>6B246CBD</paraID>
      <start>49</start>
      <end>51</end>
      <status>modified</status>
      <modifiedWord>月-</modifiedWord>
      <trackRevisions>false</trackRevisions>
    </reviewItem>
    <reviewItem>
      <errorID>57f3dc85-2098-4c20-b181-b5da61db25d5</errorID>
      <errorWord>7月-8月</errorWord>
      <group>L1_Punc</group>
      <groupName>标点问题</groupName>
      <ability>L2_Punc_CN</ability>
      <abilityName>标点符号问题</abilityName>
      <candidateList>
        <item>7月—8月</item>
      </candidateList>
      <explain/>
      <paraID> 5D69915</paraID>
      <start>5</start>
      <end>10</end>
      <status>modified</status>
      <modifiedWord>7月—8月</modifiedWord>
      <trackRevisions>false</trackRevisions>
    </reviewItem>
    <reviewItem>
      <errorID>a5a2cf5d-14b4-4a01-9308-84eb0682713b</errorID>
      <errorWord>NY/T2009</errorWord>
      <group>L1_Other</group>
      <groupName>其他问题</groupName>
      <ability>L2_Consistency</ability>
      <abilityName>一致性检查</abilityName>
      <candidateList>
        <item>NY/T1793-2009</item>
      </candidateList>
      <explain>术语一致性：文档中引用的苹果等级规格标准编号为NY/T1793-2009，此处可能是引用错误</explain>
      <paraID>49F8DE67</paraID>
      <start>32</start>
      <end>40</end>
      <status>ignored</status>
      <modifiedWord/>
      <trackRevisions>false</trackRevisions>
    </reviewItem>
    <reviewItem>
      <errorID>49176601-e53f-41ef-a4ca-3b09a0f198c9</errorID>
      <errorWord>本品基</errorWord>
      <group>L1_Word</group>
      <groupName>字词问题</groupName>
      <ability>L2_Typo</ability>
      <abilityName>字词错误</abilityName>
      <candidateList>
        <item>本品种</item>
      </candidateList>
      <explain/>
      <paraID> 2F632AA</paraID>
      <start>10</start>
      <end>13</end>
      <status>modified</status>
      <modifiedWord>本品种</modifiedWord>
      <trackRevisions>false</trackRevisions>
    </reviewItem>
    <reviewItem>
      <errorID>975c87df-5d4a-4ef7-89d3-80c487635d34</errorID>
      <errorWord>无</errorWord>
      <group>L1_Word</group>
      <groupName>字词问题</groupName>
      <ability>L2_Typo</ability>
      <abilityName>字词错误</abilityName>
      <candidateList>
        <item/>
      </candidateList>
      <explain/>
      <paraID> D628FB7</paraID>
      <start>0</start>
      <end>1</end>
      <status>ignored</status>
      <modifiedWord/>
      <trackRevisions>false</trackRevisions>
    </reviewItem>
    <reviewItem>
      <errorID>75cb9e06-25e4-4305-90b2-5ec1b135bd44</errorID>
      <errorWord>GB10651</errorWord>
      <group>L1_Other</group>
      <groupName>其他问题</groupName>
      <ability>L2_Consistency</ability>
      <abilityName>一致性检查</abilityName>
      <candidateList>
        <item>GB/T10651-2008</item>
      </candidateList>
      <explain>术语一致性：文档中首次出现该标准时为GB/T10651-2008，此处表述不一致</explain>
      <paraID>5C9A5378</paraID>
      <start>10</start>
      <end>17</end>
      <status>ignored</status>
      <modifiedWord/>
      <trackRevisions>false</trackRevisions>
    </reviewItem>
    <reviewItem>
      <errorID>a67fbd80-c133-4c98-b305-7e96de6ee946</errorID>
      <errorWord>在全国</errorWord>
      <group>L1_Grammar</group>
      <groupName>语法问题</groupName>
      <ability>L2_Grammar</ability>
      <abilityName>语法错误</abilityName>
      <candidateList>
        <item>在</item>
      </candidateList>
      <explain/>
      <paraID>6E7644D8</paraID>
      <start>16</start>
      <end>17</end>
      <status>modified</status>
      <modifiedWord>在</modifiedWord>
      <trackRevisions>false</trackRevisions>
    </reviewItem>
    <reviewItem>
      <errorID>3db75ac9-3382-4ebb-8bd6-41a63d1255f0</errorID>
      <errorWord>-</errorWord>
      <group>L1_Punc</group>
      <groupName>标点问题</groupName>
      <ability>L2_Punc_CN</ability>
      <abilityName>标点符号问题</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 BB49657</paraID>
      <start>98</start>
      <end>99</end>
      <status>modified</status>
      <modifiedWord>—</modifiedWord>
      <trackRevisions>false</trackRevisions>
    </reviewItem>
    <reviewItem>
      <errorID>363050ca-ea10-4282-96e7-6ac5751c98d3</errorID>
      <errorWord>-</errorWord>
      <group>L1_Punc</group>
      <groupName>标点问题</groupName>
      <ability>L2_Punc_CN</ability>
      <abilityName>标点符号问题</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 BB49657</paraID>
      <start>120</start>
      <end>121</end>
      <status>modified</status>
      <modifiedWord>—</modifiedWord>
      <trackRevisions>false</trackRevisions>
    </reviewItem>
  </reviewItems>
  <config/>
</contractReview>
</file>

<file path=customXml/itemProps1.xml><?xml version="1.0" encoding="utf-8"?>
<ds:datastoreItem xmlns:ds="http://schemas.openxmlformats.org/officeDocument/2006/customXml" ds:itemID="{a627435d-2a74-4b81-8e5d-3dff9117ae21}">
  <ds:schemaRefs/>
</ds:datastoreItem>
</file>

<file path=docProps/app.xml><?xml version="1.0" encoding="utf-8"?>
<Properties xmlns="http://schemas.openxmlformats.org/officeDocument/2006/extended-properties" xmlns:vt="http://schemas.openxmlformats.org/officeDocument/2006/docPropsVTypes">
  <Template>Normal</Template>
  <Pages>6</Pages>
  <Words>4673</Words>
  <Characters>5081</Characters>
  <Lines>329</Lines>
  <Paragraphs>394</Paragraphs>
  <TotalTime>2</TotalTime>
  <ScaleCrop>false</ScaleCrop>
  <LinksUpToDate>false</LinksUpToDate>
  <CharactersWithSpaces>5081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2024-08-30T06:35:00Z</dcterms:created>
  <dc:creator>Administrator</dc:creator>
  <cp:lastModifiedBy>caia</cp:lastModifiedBy>
  <dcterms:modified xsi:type="dcterms:W3CDTF">2026-08-17T02:58:26Z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34B3578AF43E48559E72CE1015F1178C_13</vt:lpwstr>
  </property>
  <property fmtid="{D5CDD505-2E9C-101B-9397-08002B2CF9AE}" pid="4" name="KSOTemplateDocerSaveRecord">
    <vt:lpwstr>eyJoZGlkIjoiN2IxZjI5ZDdhYzUzNTY1MzE5MGRjY2M0NDQ3OTk0MjgiLCJ1c2VySWQiOiI0NjIxOTUwMjYifQ==</vt:lpwstr>
  </property>
</Properties>
</file>